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contextualSpacing/>
        <w:mirrorIndents/>
        <w:jc w:val="both"/>
        <w:rPr>
          <w:rFonts w:ascii="Arial" w:hAnsi="Arial" w:cs="Arial"/>
          <w:color w:val="000000"/>
          <w:sz w:val="24"/>
          <w:szCs w:val="24"/>
        </w:rPr>
      </w:pPr>
      <w:r>
        <w:rPr>
          <w:rFonts w:cs="Arial" w:ascii="Arial" w:hAnsi="Arial"/>
          <w:color w:val="000000"/>
          <w:sz w:val="24"/>
          <w:szCs w:val="24"/>
        </w:rPr>
        <w:t>Diagn</w:t>
      </w:r>
      <w:r>
        <w:rPr>
          <w:rFonts w:cs="Arial" w:ascii="Arial" w:hAnsi="Arial"/>
          <w:sz w:val="24"/>
          <w:szCs w:val="24"/>
        </w:rPr>
        <w:t>ó</w:t>
      </w:r>
      <w:r>
        <w:rPr>
          <w:rFonts w:cs="Arial" w:ascii="Arial" w:hAnsi="Arial"/>
          <w:color w:val="000000"/>
          <w:sz w:val="24"/>
          <w:szCs w:val="24"/>
        </w:rPr>
        <w:t>stico del aprendizaje de estudiantes de Medicina. Universidad de Ciencias M</w:t>
      </w:r>
      <w:r>
        <w:rPr>
          <w:rFonts w:cs="Arial" w:ascii="Arial" w:hAnsi="Arial"/>
          <w:sz w:val="24"/>
          <w:szCs w:val="24"/>
        </w:rPr>
        <w:t>é</w:t>
      </w:r>
      <w:r>
        <w:rPr>
          <w:rFonts w:cs="Arial" w:ascii="Arial" w:hAnsi="Arial"/>
          <w:color w:val="000000"/>
          <w:sz w:val="24"/>
          <w:szCs w:val="24"/>
        </w:rPr>
        <w:t>dicas Holgu</w:t>
      </w:r>
      <w:r>
        <w:rPr>
          <w:rFonts w:cs="Arial" w:ascii="Arial" w:hAnsi="Arial"/>
          <w:sz w:val="24"/>
          <w:szCs w:val="24"/>
        </w:rPr>
        <w:t>í</w:t>
      </w:r>
      <w:r>
        <w:rPr>
          <w:rFonts w:cs="Arial" w:ascii="Arial" w:hAnsi="Arial"/>
          <w:color w:val="000000"/>
          <w:sz w:val="24"/>
          <w:szCs w:val="24"/>
        </w:rPr>
        <w:t>n 2022.</w:t>
      </w:r>
    </w:p>
    <w:p>
      <w:pPr>
        <w:pStyle w:val="Normal"/>
        <w:spacing w:lineRule="auto" w:line="360" w:before="0" w:after="0"/>
        <w:contextualSpacing/>
        <w:mirrorIndents/>
        <w:jc w:val="both"/>
        <w:rPr>
          <w:rFonts w:ascii="Arial" w:hAnsi="Arial" w:cs="Arial"/>
          <w:color w:val="000000"/>
          <w:sz w:val="24"/>
          <w:szCs w:val="24"/>
        </w:rPr>
      </w:pPr>
      <w:r>
        <w:rPr>
          <w:rFonts w:cs="Arial" w:ascii="Arial" w:hAnsi="Arial"/>
          <w:color w:val="000000"/>
          <w:sz w:val="24"/>
          <w:szCs w:val="24"/>
          <w:lang w:val="pt-BR"/>
        </w:rPr>
        <w:t>Dainelis Pupo Guerra.</w:t>
      </w:r>
      <w:r>
        <w:rPr>
          <w:rFonts w:cs="Arial" w:ascii="Arial" w:hAnsi="Arial"/>
          <w:color w:val="000000"/>
          <w:sz w:val="24"/>
          <w:szCs w:val="24"/>
          <w:vertAlign w:val="superscript"/>
          <w:lang w:val="pt-BR"/>
        </w:rPr>
        <w:t xml:space="preserve"> </w:t>
      </w:r>
      <w:hyperlink r:id="rId2">
        <w:r>
          <w:rPr>
            <w:rStyle w:val="EnlacedeInternet"/>
            <w:rFonts w:cs="Arial" w:ascii="Arial" w:hAnsi="Arial"/>
            <w:sz w:val="24"/>
            <w:szCs w:val="24"/>
          </w:rPr>
          <w:t>dainelis@infomed.sld.cu</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María Elena Pérez Hidalgo.</w:t>
      </w:r>
      <w:r>
        <w:rPr>
          <w:rFonts w:cs="Arial" w:ascii="Arial" w:hAnsi="Arial"/>
          <w:color w:val="000000"/>
          <w:sz w:val="24"/>
          <w:szCs w:val="24"/>
          <w:vertAlign w:val="superscript"/>
        </w:rPr>
        <w:t xml:space="preserve"> </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Yuselis Romay Aguilar.</w:t>
      </w:r>
      <w:r>
        <w:rPr>
          <w:rFonts w:cs="Arial" w:ascii="Arial" w:hAnsi="Arial"/>
          <w:color w:val="000000"/>
          <w:sz w:val="24"/>
          <w:szCs w:val="24"/>
          <w:vertAlign w:val="superscript"/>
        </w:rPr>
        <w:t xml:space="preserve"> </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Meylín Ríos Riverón.</w:t>
      </w:r>
      <w:r>
        <w:rPr>
          <w:rFonts w:cs="Arial" w:ascii="Arial" w:hAnsi="Arial"/>
          <w:color w:val="000000"/>
          <w:sz w:val="24"/>
          <w:szCs w:val="24"/>
          <w:vertAlign w:val="superscript"/>
        </w:rPr>
        <w:t xml:space="preserve"> </w:t>
      </w:r>
    </w:p>
    <w:p>
      <w:pPr>
        <w:pStyle w:val="Normal"/>
        <w:rPr/>
      </w:pPr>
      <w:r>
        <w:rPr>
          <w:rFonts w:cs="Arial" w:ascii="Arial" w:hAnsi="Arial"/>
          <w:color w:val="000000"/>
          <w:position w:val="0"/>
          <w:sz w:val="24"/>
          <w:sz w:val="24"/>
          <w:szCs w:val="24"/>
          <w:vertAlign w:val="baseline"/>
          <w:lang w:val="pt-BR"/>
        </w:rPr>
        <w:t>Aliuska Boue Ávila</w:t>
      </w:r>
      <w:r>
        <w:rPr>
          <w:rFonts w:cs="Arial" w:ascii="Arial" w:hAnsi="Arial"/>
          <w:color w:val="000000"/>
          <w:position w:val="0"/>
          <w:sz w:val="24"/>
          <w:sz w:val="24"/>
          <w:szCs w:val="24"/>
          <w:vertAlign w:val="baseline"/>
          <w:lang w:val="pt-BR"/>
        </w:rPr>
        <w:t xml:space="preserve">.  </w:t>
      </w:r>
    </w:p>
    <w:p>
      <w:pPr>
        <w:pStyle w:val="Normal"/>
        <w:rPr/>
      </w:pPr>
      <w:r>
        <w:rPr>
          <w:rFonts w:cs="Arial" w:ascii="Arial" w:hAnsi="Arial"/>
          <w:color w:val="000000"/>
          <w:sz w:val="24"/>
          <w:szCs w:val="24"/>
        </w:rPr>
        <w:t>Universidad de Ciencias Médicas de Holguín. Cuba.</w:t>
      </w:r>
    </w:p>
    <w:p>
      <w:pPr>
        <w:pStyle w:val="Normal"/>
        <w:spacing w:lineRule="auto" w:line="360" w:before="0" w:after="0"/>
        <w:contextualSpacing/>
        <w:mirrorIndents/>
        <w:jc w:val="both"/>
        <w:rPr/>
      </w:pPr>
      <w:r>
        <w:rPr>
          <w:rFonts w:cs="Arial" w:ascii="Arial" w:hAnsi="Arial"/>
          <w:b/>
          <w:sz w:val="24"/>
          <w:szCs w:val="24"/>
        </w:rPr>
        <w:t>RESUMEN</w:t>
      </w:r>
    </w:p>
    <w:p>
      <w:pPr>
        <w:pStyle w:val="Normal"/>
        <w:spacing w:lineRule="auto" w:line="360" w:before="0" w:after="0"/>
        <w:mirrorIndents/>
        <w:jc w:val="both"/>
        <w:rPr>
          <w:rFonts w:ascii="Arial" w:hAnsi="Arial" w:cs="Arial"/>
          <w:sz w:val="24"/>
          <w:szCs w:val="24"/>
        </w:rPr>
      </w:pPr>
      <w:r>
        <w:rPr>
          <w:rFonts w:cs="Arial" w:ascii="Arial" w:hAnsi="Arial"/>
          <w:sz w:val="24"/>
          <w:szCs w:val="24"/>
        </w:rPr>
        <w:t>Introducción: Para las universidades ésta es una época de cambios acelerados y profundos donde se hace necesario sustentar los fundamentos teóricos del proceso formativo en el desarrollo actual. Un ejemplo de esta relación es el traslado del centro de atención de la enseñanza hacia el aprendizaje del estudiante.</w:t>
      </w:r>
    </w:p>
    <w:p>
      <w:pPr>
        <w:pStyle w:val="Normal"/>
        <w:spacing w:lineRule="auto" w:line="360" w:before="0" w:after="0"/>
        <w:mirrorIndents/>
        <w:jc w:val="both"/>
        <w:rPr>
          <w:rFonts w:ascii="Arial" w:hAnsi="Arial" w:cs="Arial"/>
          <w:sz w:val="24"/>
          <w:szCs w:val="24"/>
        </w:rPr>
      </w:pPr>
      <w:r>
        <w:rPr>
          <w:rFonts w:cs="Arial" w:ascii="Arial" w:hAnsi="Arial"/>
          <w:sz w:val="24"/>
          <w:szCs w:val="24"/>
        </w:rPr>
        <w:t xml:space="preserve">Métodos: Se realizó un estudio </w:t>
      </w:r>
      <w:r>
        <w:rPr>
          <w:rFonts w:eastAsia="Times New Roman" w:cs="Arial" w:ascii="Arial" w:hAnsi="Arial"/>
          <w:sz w:val="24"/>
          <w:szCs w:val="24"/>
          <w:lang w:eastAsia="es-ES"/>
        </w:rPr>
        <w:t xml:space="preserve">con enfoque cuantitativo en el que participaron </w:t>
      </w:r>
      <w:r>
        <w:rPr>
          <w:rFonts w:cs="Arial" w:ascii="Arial" w:hAnsi="Arial"/>
          <w:sz w:val="24"/>
          <w:szCs w:val="24"/>
        </w:rPr>
        <w:t>90 estudiantes de primer año de la carrera de medicina y 19 profesores anatomistas que impartieron la asignatura Sistema nervioso, endocrino y reproductor; en la Universidad de Ciencias Médicas de Holguín, de enero de 2022 a marzo de 2022.</w:t>
      </w:r>
    </w:p>
    <w:p>
      <w:pPr>
        <w:pStyle w:val="Normal"/>
        <w:spacing w:lineRule="auto" w:line="360" w:before="0" w:after="0"/>
        <w:mirrorIndents/>
        <w:jc w:val="both"/>
        <w:rPr>
          <w:rFonts w:ascii="Arial" w:hAnsi="Arial" w:cs="Arial"/>
          <w:sz w:val="24"/>
          <w:szCs w:val="24"/>
        </w:rPr>
      </w:pPr>
      <w:r>
        <w:rPr>
          <w:rFonts w:cs="Arial" w:ascii="Arial" w:hAnsi="Arial"/>
          <w:sz w:val="24"/>
          <w:szCs w:val="24"/>
        </w:rPr>
        <w:t>Objetivo: Caracterizar el aprendizaje de anatomía de sistema nervioso en estudiantes de primer</w:t>
      </w:r>
      <w:r>
        <w:rPr>
          <w:rFonts w:cs="Arial" w:ascii="Arial" w:hAnsi="Arial"/>
          <w:color w:val="000000"/>
          <w:sz w:val="24"/>
          <w:szCs w:val="24"/>
        </w:rPr>
        <w:t xml:space="preserve"> a</w:t>
      </w:r>
      <w:r>
        <w:rPr>
          <w:rFonts w:cs="Arial" w:ascii="Arial" w:hAnsi="Arial"/>
          <w:sz w:val="24"/>
          <w:szCs w:val="24"/>
        </w:rPr>
        <w:t xml:space="preserve">ño de Medicina en la Facultad de Ciencias Médicas  “Mariana Grajales Coello” de Holguín. </w:t>
      </w:r>
    </w:p>
    <w:p>
      <w:pPr>
        <w:pStyle w:val="Normal"/>
        <w:spacing w:lineRule="auto" w:line="360" w:before="0" w:after="0"/>
        <w:mirrorIndents/>
        <w:jc w:val="both"/>
        <w:rPr>
          <w:rFonts w:ascii="Arial" w:hAnsi="Arial" w:cs="Arial"/>
          <w:sz w:val="24"/>
          <w:szCs w:val="24"/>
        </w:rPr>
      </w:pPr>
      <w:r>
        <w:rPr>
          <w:rFonts w:cs="Arial" w:ascii="Arial" w:hAnsi="Arial"/>
          <w:sz w:val="24"/>
          <w:szCs w:val="24"/>
        </w:rPr>
        <w:t xml:space="preserve">Resultados: El aprendizaje de los estudiantes percibidos por ellos mismos fue significativo (63,6 %), mientras los profesores lo consideraron no significativo (56,5 %). En las estrategias cognitivas predominó el aprendizaje significativo en   81,7 % y según los profesores predominó en 57,6 %. En las estrategias metacognitivas predominó el aprendizaje no significativo en 54,4 % según los estudiantes y en 70,7 % según los profesores. Estudiantes y profesores coinciden en la escasa reutilización de lo aprendido, en no sentirse estimulados por el trabajo en equipos, la pobre capacidad de estudiar por varias fuentes, en el no anclaje del nuevo conocimiento sobre lo ya conocido, la pobre habilidad para seleccionar y relacionar conceptos y en la no realización de esquemas, por los estudiantes. </w:t>
      </w:r>
    </w:p>
    <w:p>
      <w:pPr>
        <w:pStyle w:val="Normal"/>
        <w:spacing w:lineRule="auto" w:line="360" w:before="0" w:after="0"/>
        <w:mirrorIndents/>
        <w:jc w:val="both"/>
        <w:rPr>
          <w:rFonts w:ascii="Arial" w:hAnsi="Arial" w:cs="Arial"/>
          <w:sz w:val="24"/>
          <w:szCs w:val="24"/>
        </w:rPr>
      </w:pPr>
      <w:r>
        <w:rPr>
          <w:rFonts w:cs="Arial" w:ascii="Arial" w:hAnsi="Arial"/>
          <w:sz w:val="24"/>
          <w:szCs w:val="24"/>
        </w:rPr>
        <w:t>Conclusiones: En los estudiantes de medicina de primer año predominó el aprendizaje significativo sobre el no significativo, aunque con escasa ventaja y a expensas de estrategias cognitivas.</w:t>
      </w:r>
    </w:p>
    <w:p>
      <w:pPr>
        <w:pStyle w:val="Normal"/>
        <w:spacing w:lineRule="auto" w:line="360" w:before="0" w:after="0"/>
        <w:mirrorIndents/>
        <w:jc w:val="both"/>
        <w:rPr>
          <w:rFonts w:ascii="Arial" w:hAnsi="Arial" w:cs="Arial"/>
          <w:sz w:val="24"/>
          <w:szCs w:val="24"/>
        </w:rPr>
      </w:pPr>
      <w:r>
        <w:rPr>
          <w:rFonts w:cs="Arial" w:ascii="Arial" w:hAnsi="Arial"/>
          <w:sz w:val="24"/>
          <w:szCs w:val="24"/>
        </w:rPr>
        <w:t>Palabras clave</w:t>
      </w:r>
      <w:r>
        <w:rPr>
          <w:rFonts w:cs="Arial" w:ascii="Arial" w:hAnsi="Arial"/>
          <w:b/>
          <w:sz w:val="24"/>
          <w:szCs w:val="24"/>
        </w:rPr>
        <w:t xml:space="preserve">: </w:t>
      </w:r>
      <w:r>
        <w:rPr>
          <w:rFonts w:cs="Arial" w:ascii="Arial" w:hAnsi="Arial"/>
          <w:sz w:val="24"/>
          <w:szCs w:val="24"/>
        </w:rPr>
        <w:t>aprendizaje significativo, metacognición, cognición, estudiantes, profesores</w:t>
      </w:r>
    </w:p>
    <w:p>
      <w:pPr>
        <w:pStyle w:val="Normal"/>
        <w:spacing w:lineRule="auto" w:line="360" w:before="0" w:after="0"/>
        <w:mirrorIndents/>
        <w:jc w:val="both"/>
        <w:rPr>
          <w:rFonts w:ascii="Arial" w:hAnsi="Arial" w:cs="Arial"/>
          <w:b/>
          <w:b/>
          <w:sz w:val="24"/>
          <w:szCs w:val="24"/>
        </w:rPr>
      </w:pPr>
      <w:r>
        <w:rPr>
          <w:rFonts w:cs="Arial" w:ascii="Arial" w:hAnsi="Arial"/>
          <w:b/>
          <w:sz w:val="24"/>
          <w:szCs w:val="24"/>
        </w:rPr>
        <w:t>INTRODUCCIÓN</w:t>
      </w:r>
    </w:p>
    <w:p>
      <w:pPr>
        <w:pStyle w:val="Normal"/>
        <w:spacing w:lineRule="auto" w:line="360" w:before="0" w:after="0"/>
        <w:mirrorIndents/>
        <w:jc w:val="both"/>
        <w:rPr>
          <w:rFonts w:ascii="Arial" w:hAnsi="Arial" w:cs="Arial"/>
          <w:sz w:val="24"/>
          <w:szCs w:val="24"/>
        </w:rPr>
      </w:pPr>
      <w:r>
        <w:rPr>
          <w:rFonts w:cs="Arial" w:ascii="Arial" w:hAnsi="Arial"/>
          <w:sz w:val="24"/>
          <w:szCs w:val="24"/>
        </w:rPr>
        <w:t>Para las universidades, estos son tiempos de cambios acelerados y profundos producidos por el incremento en la generación de conocimientos; donde los roles de profesores y alumnos deben adaptarse a esta época, estos últimos adoptando un papel más activo.</w:t>
      </w:r>
      <w:r>
        <w:rPr>
          <w:rFonts w:cs="Arial" w:ascii="Arial" w:hAnsi="Arial"/>
          <w:sz w:val="24"/>
          <w:szCs w:val="24"/>
          <w:vertAlign w:val="superscript"/>
        </w:rPr>
        <w:t xml:space="preserve"> </w:t>
      </w:r>
      <w:r>
        <w:rPr>
          <w:rFonts w:cs="Arial" w:ascii="Arial" w:hAnsi="Arial"/>
          <w:sz w:val="24"/>
          <w:szCs w:val="24"/>
        </w:rPr>
        <w:t>Es necesario sustentar los fundamentos teóricos del proceso formativo en el desarrollo actual y un ejemplo de esta relación es el traslado del centro de atención de la enseñanza hacia el aprendizaje del estudiante.</w:t>
      </w:r>
      <w:r>
        <w:rPr>
          <w:rFonts w:cs="Arial" w:ascii="Arial" w:hAnsi="Arial"/>
          <w:sz w:val="24"/>
          <w:szCs w:val="24"/>
          <w:vertAlign w:val="superscript"/>
        </w:rPr>
        <w:t>1</w:t>
      </w:r>
    </w:p>
    <w:p>
      <w:pPr>
        <w:pStyle w:val="Normal"/>
        <w:spacing w:lineRule="auto" w:line="360" w:before="0" w:after="0"/>
        <w:mirrorIndents/>
        <w:jc w:val="both"/>
        <w:rPr>
          <w:rFonts w:ascii="Arial" w:hAnsi="Arial" w:cs="Arial"/>
          <w:sz w:val="24"/>
          <w:szCs w:val="24"/>
        </w:rPr>
      </w:pPr>
      <w:r>
        <w:rPr>
          <w:rFonts w:cs="Arial" w:ascii="Arial" w:hAnsi="Arial"/>
          <w:sz w:val="24"/>
          <w:szCs w:val="24"/>
        </w:rPr>
        <w:t>Si el proceso de aprendizaje es activo, se facilita que la información se procese de modo más profundo y no solamente se memorice. A diferencia de lo que se llama aprendizaje mecánico o memorístico, el aprendizaje significativo requiere que el estudiante esté comprometido activamente con su aprendizaje y que se utilicen estrategias que faciliten el autogobierno del aprendizaje y del pensamiento como planificar, controlar, evaluar y reflexionar sobre la actividad de aprendizaje, las que presuponen un comportamiento más reflexivo y regulado en dicho proceso.</w:t>
      </w:r>
      <w:r>
        <w:rPr>
          <w:rFonts w:cs="Arial" w:ascii="Arial" w:hAnsi="Arial"/>
          <w:sz w:val="24"/>
          <w:szCs w:val="24"/>
          <w:vertAlign w:val="superscript"/>
        </w:rPr>
        <w:t>2, 3,4</w:t>
      </w:r>
      <w:r>
        <w:rPr>
          <w:rFonts w:cs="Arial" w:ascii="Arial" w:hAnsi="Arial"/>
          <w:sz w:val="24"/>
          <w:szCs w:val="24"/>
        </w:rPr>
        <w:t xml:space="preserve"> Son estas habilidades metacognitivas, entre otras, las que caracterizan y sirven de indicadores de un nivel superior de desempeño intelectual en el alumno, como parte del proceso de apropiación del conocimiento, pues contribuyen a lograr aprendizajes significativos.</w:t>
      </w:r>
      <w:r>
        <w:rPr>
          <w:rFonts w:cs="Arial" w:ascii="Arial" w:hAnsi="Arial"/>
          <w:sz w:val="24"/>
          <w:szCs w:val="24"/>
          <w:vertAlign w:val="superscript"/>
        </w:rPr>
        <w:t>2,3</w:t>
      </w:r>
      <w:r>
        <w:rPr>
          <w:rFonts w:cs="Arial" w:ascii="Arial" w:hAnsi="Arial"/>
          <w:sz w:val="24"/>
          <w:szCs w:val="24"/>
        </w:rPr>
        <w:t xml:space="preserve"> </w:t>
      </w:r>
    </w:p>
    <w:p>
      <w:pPr>
        <w:pStyle w:val="Normal"/>
        <w:spacing w:lineRule="auto" w:line="360" w:before="0" w:after="0"/>
        <w:mirrorIndents/>
        <w:jc w:val="both"/>
        <w:rPr>
          <w:rFonts w:ascii="Arial" w:hAnsi="Arial" w:cs="Arial"/>
          <w:sz w:val="24"/>
          <w:szCs w:val="24"/>
        </w:rPr>
      </w:pPr>
      <w:r>
        <w:rPr>
          <w:rFonts w:cs="Arial" w:ascii="Arial" w:hAnsi="Arial"/>
          <w:sz w:val="24"/>
          <w:szCs w:val="24"/>
        </w:rPr>
        <w:t>El hecho de que aspiremos a la formación de un profesional cada vez mejor preparado, capaz de reflexionar acerca de su propia práctica cotidiana y transformarla, hace necesario la utilización del diagnóstico pedagógico; el cual se concibe como un principio pedagógico que mantiene actualizada la información sobre cambios que operan en el alumno y su entorno; puesto que garantiza la realización de las adaptaciones curriculares necesarias para lograr los objetivos deseados.</w:t>
      </w:r>
      <w:r>
        <w:rPr>
          <w:rFonts w:cs="Arial" w:ascii="Arial" w:hAnsi="Arial"/>
          <w:sz w:val="24"/>
          <w:szCs w:val="24"/>
          <w:vertAlign w:val="superscript"/>
        </w:rPr>
        <w:t xml:space="preserve"> 5</w:t>
      </w:r>
      <w:r>
        <w:rPr>
          <w:rFonts w:cs="Arial" w:ascii="Arial" w:hAnsi="Arial"/>
          <w:sz w:val="24"/>
          <w:szCs w:val="24"/>
        </w:rPr>
        <w:t xml:space="preserve"> </w:t>
      </w:r>
    </w:p>
    <w:p>
      <w:pPr>
        <w:pStyle w:val="Normal"/>
        <w:spacing w:lineRule="auto" w:line="360" w:before="0" w:after="0"/>
        <w:mirrorIndents/>
        <w:jc w:val="both"/>
        <w:rPr>
          <w:rFonts w:ascii="Arial" w:hAnsi="Arial" w:cs="Arial"/>
          <w:color w:val="000000"/>
          <w:sz w:val="24"/>
          <w:szCs w:val="24"/>
        </w:rPr>
      </w:pPr>
      <w:r>
        <w:rPr>
          <w:rFonts w:cs="Arial" w:ascii="Arial" w:hAnsi="Arial"/>
          <w:color w:val="000000"/>
          <w:sz w:val="24"/>
          <w:szCs w:val="24"/>
        </w:rPr>
        <w:t xml:space="preserve">El presente estudio posee como objetivo: </w:t>
      </w:r>
      <w:r>
        <w:rPr>
          <w:rFonts w:cs="Arial" w:ascii="Arial" w:hAnsi="Arial"/>
          <w:sz w:val="24"/>
          <w:szCs w:val="24"/>
        </w:rPr>
        <w:t>caracterizar el aprendizaje de anatomía de sistema nervioso en estudiantes de primer</w:t>
      </w:r>
      <w:r>
        <w:rPr>
          <w:rFonts w:cs="Arial" w:ascii="Arial" w:hAnsi="Arial"/>
          <w:color w:val="000000"/>
          <w:sz w:val="24"/>
          <w:szCs w:val="24"/>
        </w:rPr>
        <w:t xml:space="preserve"> a</w:t>
      </w:r>
      <w:r>
        <w:rPr>
          <w:rFonts w:cs="Arial" w:ascii="Arial" w:hAnsi="Arial"/>
          <w:sz w:val="24"/>
          <w:szCs w:val="24"/>
        </w:rPr>
        <w:t>ño de Medicina en la Facultad de Ciencias Médicas  “Mariana Grajales Coello” de Holguín</w:t>
      </w:r>
      <w:r>
        <w:rPr>
          <w:rFonts w:cs="Arial" w:ascii="Arial" w:hAnsi="Arial"/>
          <w:color w:val="000000"/>
          <w:sz w:val="24"/>
          <w:szCs w:val="24"/>
        </w:rPr>
        <w:t>. Por tanto, la investigación tiene un valor pedagógico significativo como diagnóstico del proceso de aprendizaje objeto de estudio; ya que permitirá conocer si los estudiantes asimilan el contenido mediante el análisis y comprensión del mismo, o si resultan necesarias transformaciones para facilitar el aprendizaje.</w:t>
      </w:r>
    </w:p>
    <w:p>
      <w:pPr>
        <w:pStyle w:val="Normal"/>
        <w:spacing w:lineRule="auto" w:line="360" w:before="0" w:after="0"/>
        <w:contextualSpacing/>
        <w:mirrorIndents/>
        <w:jc w:val="both"/>
        <w:rPr>
          <w:rFonts w:ascii="Arial" w:hAnsi="Arial" w:cs="Arial"/>
          <w:b/>
          <w:b/>
          <w:sz w:val="24"/>
          <w:szCs w:val="24"/>
        </w:rPr>
      </w:pPr>
      <w:r>
        <w:rPr>
          <w:rFonts w:cs="Arial" w:ascii="Arial" w:hAnsi="Arial"/>
          <w:b/>
          <w:sz w:val="24"/>
          <w:szCs w:val="24"/>
        </w:rPr>
        <w:t>MATERIAL Y MÉTODO</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El estudio realizado posee un enfoque cuantitativo. Fue desarrollado en una muestra conformada por estudiantes de primer año de Medicina y profesores anatomistas que impartieron la asignatura “Sistema nervioso, endocrino y reproductor”, de la Facultad de Ciencias Médicas  “Mariana Grajales Coello” de Holguín, desde enero a marzo de 2022. </w:t>
      </w:r>
    </w:p>
    <w:p>
      <w:pPr>
        <w:pStyle w:val="Normal"/>
        <w:spacing w:lineRule="auto" w:line="360" w:before="0" w:after="0"/>
        <w:contextualSpacing/>
        <w:mirrorIndents/>
        <w:jc w:val="both"/>
        <w:rPr>
          <w:rFonts w:ascii="Arial" w:hAnsi="Arial" w:eastAsia="Times New Roman" w:cs="Arial"/>
          <w:sz w:val="24"/>
          <w:szCs w:val="24"/>
          <w:lang w:eastAsia="es-ES"/>
        </w:rPr>
      </w:pPr>
      <w:r>
        <w:rPr>
          <w:rFonts w:cs="Arial" w:ascii="Arial" w:hAnsi="Arial"/>
          <w:sz w:val="24"/>
          <w:szCs w:val="24"/>
          <w:lang w:val="es-ES_tradnl"/>
        </w:rPr>
        <w:t>Del universo de</w:t>
      </w:r>
      <w:r>
        <w:rPr>
          <w:rFonts w:cs="Arial" w:ascii="Arial" w:hAnsi="Arial"/>
          <w:sz w:val="24"/>
          <w:szCs w:val="24"/>
        </w:rPr>
        <w:t xml:space="preserve"> profesores de la asignatura “Sistema nervioso, endocrino y reproductor”, en el período que enmarca el estudio y utilizando el muestreo no probabilístico intencional </w:t>
      </w:r>
      <w:r>
        <w:rPr>
          <w:rFonts w:cs="Arial" w:ascii="Arial" w:hAnsi="Arial"/>
          <w:sz w:val="24"/>
          <w:szCs w:val="24"/>
          <w:lang w:val="es-ES_tradnl"/>
        </w:rPr>
        <w:t xml:space="preserve">después de aplicar los criterios de inclusión, fueron seleccionados: </w:t>
      </w:r>
      <w:r>
        <w:rPr>
          <w:rFonts w:eastAsia="Times New Roman" w:cs="Arial" w:ascii="Arial" w:hAnsi="Arial"/>
          <w:sz w:val="24"/>
          <w:szCs w:val="24"/>
          <w:lang w:eastAsia="es-ES"/>
        </w:rPr>
        <w:t>Profesores anatomistas con cuatro o más años de experiencia docente que hubiesen impartido los contenidos de sistema nervioso en el presente curso. En este caso, e</w:t>
      </w:r>
      <w:r>
        <w:rPr>
          <w:rFonts w:cs="Arial" w:ascii="Arial" w:hAnsi="Arial"/>
          <w:sz w:val="24"/>
          <w:szCs w:val="24"/>
          <w:lang w:val="es-ES_tradnl"/>
        </w:rPr>
        <w:t xml:space="preserve">l criterio de exclusión utilizado fue: Profesores con </w:t>
      </w:r>
      <w:r>
        <w:rPr>
          <w:rFonts w:eastAsia="Times New Roman" w:cs="Arial" w:ascii="Arial" w:hAnsi="Arial"/>
          <w:sz w:val="24"/>
          <w:szCs w:val="24"/>
          <w:lang w:eastAsia="es-ES"/>
        </w:rPr>
        <w:t xml:space="preserve">permanencia irregular frente al grupo clase asignado. </w:t>
      </w:r>
    </w:p>
    <w:p>
      <w:pPr>
        <w:pStyle w:val="Normal"/>
        <w:spacing w:lineRule="auto" w:line="360" w:before="0" w:after="0"/>
        <w:contextualSpacing/>
        <w:mirrorIndents/>
        <w:jc w:val="both"/>
        <w:rPr>
          <w:rFonts w:ascii="Arial" w:hAnsi="Arial" w:cs="Arial"/>
          <w:sz w:val="24"/>
          <w:szCs w:val="24"/>
          <w:lang w:val="es-ES_tradnl"/>
        </w:rPr>
      </w:pPr>
      <w:r>
        <w:rPr>
          <w:rFonts w:eastAsia="Times New Roman" w:cs="Arial" w:ascii="Arial" w:hAnsi="Arial"/>
          <w:sz w:val="24"/>
          <w:szCs w:val="24"/>
          <w:lang w:eastAsia="es-ES"/>
        </w:rPr>
        <w:t xml:space="preserve">Por su parte, del universo de estudiantes de primer año de medicina </w:t>
      </w:r>
      <w:r>
        <w:rPr>
          <w:rFonts w:cs="Arial" w:ascii="Arial" w:hAnsi="Arial"/>
          <w:sz w:val="24"/>
          <w:szCs w:val="24"/>
        </w:rPr>
        <w:t>de la Facultad de Ciencias Médicas “Mariana Grajales Coello” de Holguín,</w:t>
      </w:r>
      <w:r>
        <w:rPr>
          <w:rFonts w:eastAsia="Times New Roman" w:cs="Arial" w:ascii="Arial" w:hAnsi="Arial"/>
          <w:sz w:val="24"/>
          <w:szCs w:val="24"/>
          <w:lang w:eastAsia="es-ES"/>
        </w:rPr>
        <w:t xml:space="preserve"> se seleccionaron 5 estudiantes de 18 grupos por muestreo no probabil</w:t>
      </w:r>
      <w:r>
        <w:rPr>
          <w:rFonts w:cs="Arial" w:ascii="Arial" w:hAnsi="Arial"/>
          <w:sz w:val="24"/>
          <w:szCs w:val="24"/>
        </w:rPr>
        <w:t>í</w:t>
      </w:r>
      <w:r>
        <w:rPr>
          <w:rFonts w:eastAsia="Times New Roman" w:cs="Arial" w:ascii="Arial" w:hAnsi="Arial"/>
          <w:sz w:val="24"/>
          <w:szCs w:val="24"/>
          <w:lang w:eastAsia="es-ES"/>
        </w:rPr>
        <w:t xml:space="preserve">stico intencional. </w:t>
      </w:r>
      <w:r>
        <w:rPr>
          <w:rFonts w:cs="Arial" w:ascii="Arial" w:hAnsi="Arial"/>
          <w:sz w:val="24"/>
          <w:szCs w:val="24"/>
          <w:lang w:val="es-ES_tradnl"/>
        </w:rPr>
        <w:t xml:space="preserve">Finalmente, la muestra quedó constituida </w:t>
      </w:r>
      <w:r>
        <w:rPr>
          <w:rFonts w:cs="Arial" w:ascii="Arial" w:hAnsi="Arial"/>
          <w:sz w:val="24"/>
          <w:szCs w:val="24"/>
        </w:rPr>
        <w:t xml:space="preserve">por 109 individuos: 90 estudiantes y 19 profesores; a los que </w:t>
      </w:r>
      <w:r>
        <w:rPr>
          <w:rFonts w:cs="Arial" w:ascii="Arial" w:hAnsi="Arial"/>
          <w:sz w:val="24"/>
          <w:szCs w:val="24"/>
          <w:lang w:val="es-MX"/>
        </w:rPr>
        <w:t>se solicitó su consentimiento para participar en el estudio, luego de explicarles el objetivo de la investigación</w:t>
      </w:r>
      <w:r>
        <w:rPr>
          <w:rFonts w:cs="Arial" w:ascii="Arial" w:hAnsi="Arial"/>
          <w:sz w:val="24"/>
          <w:szCs w:val="24"/>
          <w:lang w:val="es-ES_tradnl"/>
        </w:rPr>
        <w:t xml:space="preserve">. </w:t>
      </w:r>
    </w:p>
    <w:p>
      <w:pPr>
        <w:pStyle w:val="Normal"/>
        <w:spacing w:lineRule="auto" w:line="360" w:before="0" w:after="0"/>
        <w:contextualSpacing/>
        <w:mirrorIndents/>
        <w:jc w:val="both"/>
        <w:rPr>
          <w:rFonts w:ascii="Arial" w:hAnsi="Arial" w:eastAsia="Times New Roman" w:cs="Arial"/>
          <w:sz w:val="24"/>
          <w:szCs w:val="24"/>
          <w:lang w:eastAsia="es-ES"/>
        </w:rPr>
      </w:pPr>
      <w:r>
        <w:rPr>
          <w:rFonts w:eastAsia="Times New Roman" w:cs="Arial" w:ascii="Arial" w:hAnsi="Arial"/>
          <w:sz w:val="24"/>
          <w:szCs w:val="24"/>
          <w:lang w:eastAsia="es-ES"/>
        </w:rPr>
        <w:t>A los estudiantes, se aplicó un cuestionario para caracterizar su aprendizaje, mientras que a los profesores se aplicó un cuestionario similar para conocer su apreciación acerca del aprendizaje de los estudiantes. Dicho instrumento fue adaptado de los siguientes: Cuestionario para la Evaluación de las Estrategias de Aprendizaje de los Estudiantes Universitarios (CEVEAPEU),</w:t>
      </w:r>
      <w:r>
        <w:rPr>
          <w:rFonts w:eastAsia="Times New Roman" w:cs="Arial" w:ascii="Arial" w:hAnsi="Arial"/>
          <w:sz w:val="24"/>
          <w:szCs w:val="24"/>
          <w:vertAlign w:val="superscript"/>
          <w:lang w:eastAsia="es-ES"/>
        </w:rPr>
        <w:t xml:space="preserve">6 </w:t>
      </w:r>
      <w:r>
        <w:rPr>
          <w:rFonts w:eastAsia="Times New Roman" w:cs="Arial" w:ascii="Arial" w:hAnsi="Arial"/>
          <w:sz w:val="24"/>
          <w:szCs w:val="24"/>
          <w:lang w:eastAsia="es-ES"/>
        </w:rPr>
        <w:t>elaborado y validado en España por Gargallo y colaboradores que mide estrategias de aprendizaje en los estudiantes universitarios; Cuestionario “Reflexiones sobre el estudio universitario”,</w:t>
      </w:r>
      <w:r>
        <w:rPr>
          <w:rFonts w:eastAsia="Times New Roman" w:cs="Arial" w:ascii="Arial" w:hAnsi="Arial"/>
          <w:sz w:val="24"/>
          <w:szCs w:val="24"/>
          <w:vertAlign w:val="superscript"/>
          <w:lang w:eastAsia="es-ES"/>
        </w:rPr>
        <w:t xml:space="preserve">7 </w:t>
      </w:r>
      <w:r>
        <w:rPr>
          <w:rFonts w:eastAsia="Times New Roman" w:cs="Arial" w:ascii="Arial" w:hAnsi="Arial"/>
          <w:sz w:val="24"/>
          <w:szCs w:val="24"/>
          <w:lang w:eastAsia="es-ES"/>
        </w:rPr>
        <w:t xml:space="preserve">elaborado y validado en Argentina por Palacios AM y Schinella GR que evalúa la metacognición sobre el estudio en estudiantes de Medicina. </w:t>
      </w:r>
    </w:p>
    <w:p>
      <w:pPr>
        <w:pStyle w:val="Normal"/>
        <w:spacing w:lineRule="auto" w:line="360" w:before="0" w:after="0"/>
        <w:mirrorIndents/>
        <w:jc w:val="both"/>
        <w:rPr>
          <w:rFonts w:ascii="Arial" w:hAnsi="Arial" w:eastAsia="Times New Roman" w:cs="Arial"/>
          <w:sz w:val="24"/>
          <w:szCs w:val="24"/>
          <w:lang w:eastAsia="es-ES"/>
        </w:rPr>
      </w:pPr>
      <w:r>
        <w:rPr>
          <w:rFonts w:eastAsia="Times New Roman" w:cs="Arial" w:ascii="Arial" w:hAnsi="Arial"/>
          <w:sz w:val="24"/>
          <w:szCs w:val="24"/>
          <w:lang w:eastAsia="es-ES"/>
        </w:rPr>
        <w:t>El cuestionario aplicado en esta investigación consta de 32 preguntas, de las cuales 16 exploran estrategias cognitivas y otras 16 indagan en las estrategias metacognitivas. Las mismas se ubicaron dispersas en el instrumento. Se utilizó una escala descriptiva para la evaluación de las respuestas, empleando los criterios: Muy de acuerdo; De acuerdo; En desacuerdo; Muy en desacuerdo. Cuando las respuestas fueron “Muy de acuerdo” y “De acuerdo”, se consideró el aprendizaje significativo (AS); mientras que cuando fueron “En desacuerdo” y “Muy en desacuerdo”, el aprendizaje se clasificó como no significativo (ANS).</w:t>
      </w:r>
    </w:p>
    <w:p>
      <w:pPr>
        <w:pStyle w:val="Normal"/>
        <w:spacing w:lineRule="auto" w:line="360" w:before="0" w:after="0"/>
        <w:mirrorIndents/>
        <w:jc w:val="both"/>
        <w:rPr>
          <w:rFonts w:ascii="Arial" w:hAnsi="Arial" w:cs="Arial"/>
          <w:sz w:val="24"/>
          <w:szCs w:val="24"/>
        </w:rPr>
      </w:pPr>
      <w:r>
        <w:rPr>
          <w:rFonts w:eastAsia="Times New Roman" w:cs="Arial" w:ascii="Arial" w:hAnsi="Arial"/>
          <w:sz w:val="24"/>
          <w:szCs w:val="24"/>
          <w:lang w:eastAsia="es-ES"/>
        </w:rPr>
        <w:t xml:space="preserve">De los 90 cuestionarios aplicados a estudiantes, se procesaron 88, ya que se excluyeron dos cuestionarios por presentar omisiones. </w:t>
      </w:r>
      <w:r>
        <w:rPr>
          <w:rFonts w:cs="Arial" w:ascii="Arial" w:hAnsi="Arial"/>
          <w:sz w:val="24"/>
          <w:szCs w:val="24"/>
        </w:rPr>
        <w:t xml:space="preserve">Con los datos obtenidos, fue confeccionada una base de datos en Microsoft Excel 2010 </w:t>
      </w:r>
      <w:r>
        <w:rPr>
          <w:rFonts w:eastAsia="Times New Roman" w:cs="Arial" w:ascii="Arial" w:hAnsi="Arial"/>
          <w:sz w:val="24"/>
          <w:szCs w:val="24"/>
          <w:lang w:eastAsia="es-ES"/>
        </w:rPr>
        <w:t>para</w:t>
      </w:r>
      <w:r>
        <w:rPr>
          <w:rFonts w:cs="Arial" w:ascii="Arial" w:hAnsi="Arial"/>
          <w:sz w:val="24"/>
          <w:szCs w:val="24"/>
        </w:rPr>
        <w:t xml:space="preserve"> el procesamiento de la información mediante métodos de Estadística Descriptiva, como el cálculo de porcientos y la triangulación de resultados. </w:t>
      </w:r>
    </w:p>
    <w:p>
      <w:pPr>
        <w:pStyle w:val="Normal"/>
        <w:spacing w:lineRule="auto" w:line="360" w:before="0" w:after="0"/>
        <w:contextualSpacing/>
        <w:mirrorIndents/>
        <w:jc w:val="both"/>
        <w:rPr>
          <w:rFonts w:ascii="Arial" w:hAnsi="Arial" w:cs="Arial"/>
          <w:b/>
          <w:b/>
          <w:sz w:val="24"/>
          <w:szCs w:val="24"/>
        </w:rPr>
      </w:pPr>
      <w:r>
        <w:rPr>
          <w:rFonts w:cs="Arial" w:ascii="Arial" w:hAnsi="Arial"/>
          <w:b/>
          <w:sz w:val="24"/>
          <w:szCs w:val="24"/>
        </w:rPr>
        <w:t>RESULTADOS</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El cuadro 1 muestra que la respuesta que predominó en los estudiantes fue De acuerdo, para un 35,6 % seguida de En desacuerdo (28,4 %); en cambio en los profesores fue En desacuerdo (44,7 %) y a continuación De acuerdo en 36,5 %.</w:t>
      </w:r>
    </w:p>
    <w:p>
      <w:pPr>
        <w:pStyle w:val="Normal"/>
        <w:tabs>
          <w:tab w:val="clear" w:pos="708"/>
          <w:tab w:val="left" w:pos="2379" w:leader="none"/>
        </w:tabs>
        <w:spacing w:lineRule="auto" w:line="360" w:before="0" w:after="0"/>
        <w:mirrorIndents/>
        <w:jc w:val="both"/>
        <w:rPr>
          <w:rFonts w:ascii="Arial" w:hAnsi="Arial" w:cs="Arial"/>
          <w:sz w:val="24"/>
          <w:szCs w:val="24"/>
        </w:rPr>
      </w:pPr>
      <w:r>
        <w:rPr>
          <w:rFonts w:cs="Arial" w:ascii="Arial" w:hAnsi="Arial"/>
          <w:sz w:val="24"/>
          <w:szCs w:val="24"/>
        </w:rPr>
        <w:t>La opción de respuesta que presentó coincidencia en estudiantes y profesores fue De acuerdo (con una diferencia de 0,9 %) y en menor medida Muy en desacuerdo (con una diferencia de 4,1 %). No coincidieron los estudiantes y profesores en las opciones Muy de acuerdo (diferencia de 21,4 %) y En desacuerdo (diferencia de  16,3 %).</w:t>
      </w:r>
    </w:p>
    <w:p>
      <w:pPr>
        <w:pStyle w:val="Normal"/>
        <w:spacing w:lineRule="auto" w:line="360" w:before="0" w:after="0"/>
        <w:mirrorIndents/>
        <w:jc w:val="both"/>
        <w:rPr>
          <w:rFonts w:ascii="Arial" w:hAnsi="Arial" w:cs="Arial"/>
          <w:sz w:val="24"/>
          <w:szCs w:val="24"/>
        </w:rPr>
      </w:pPr>
      <w:r>
        <w:rPr>
          <w:rFonts w:cs="Arial" w:ascii="Arial" w:hAnsi="Arial"/>
          <w:sz w:val="24"/>
          <w:szCs w:val="24"/>
        </w:rPr>
        <w:t>Cuadro 1. Análisis de las respuestas sobre el aprendizaje de los estudiantes.</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1729"/>
        <w:gridCol w:w="1813"/>
        <w:gridCol w:w="2318"/>
        <w:gridCol w:w="2018"/>
        <w:gridCol w:w="2094"/>
      </w:tblGrid>
      <w:tr>
        <w:trPr>
          <w:trHeight w:val="290" w:hRule="atLeast"/>
        </w:trPr>
        <w:tc>
          <w:tcPr>
            <w:tcW w:w="997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Tipo de respuesta</w:t>
            </w:r>
          </w:p>
        </w:tc>
      </w:tr>
      <w:tr>
        <w:trPr>
          <w:trHeight w:val="284" w:hRule="exact"/>
        </w:trPr>
        <w:tc>
          <w:tcPr>
            <w:tcW w:w="1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Encuestado</w:t>
            </w:r>
          </w:p>
        </w:tc>
        <w:tc>
          <w:tcPr>
            <w:tcW w:w="18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MdeA</w:t>
            </w:r>
          </w:p>
          <w:p>
            <w:pPr>
              <w:pStyle w:val="Normal"/>
              <w:widowControl w:val="false"/>
              <w:spacing w:lineRule="auto" w:line="240" w:before="0" w:after="0"/>
              <w:jc w:val="center"/>
              <w:rPr>
                <w:rFonts w:ascii="Arial" w:hAnsi="Arial" w:cs="Arial"/>
                <w:sz w:val="24"/>
                <w:szCs w:val="24"/>
              </w:rPr>
            </w:pPr>
            <w:r>
              <w:rPr>
                <w:rFonts w:cs="Arial" w:ascii="Arial" w:hAnsi="Arial"/>
                <w:sz w:val="24"/>
                <w:szCs w:val="24"/>
              </w:rPr>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De acuerdo</w:t>
            </w:r>
          </w:p>
          <w:p>
            <w:pPr>
              <w:pStyle w:val="Normal"/>
              <w:widowControl w:val="false"/>
              <w:tabs>
                <w:tab w:val="clear" w:pos="708"/>
                <w:tab w:val="left" w:pos="388" w:leader="none"/>
                <w:tab w:val="center" w:pos="882" w:leader="none"/>
              </w:tabs>
              <w:spacing w:lineRule="auto" w:line="240" w:before="0" w:after="0"/>
              <w:jc w:val="center"/>
              <w:rPr>
                <w:rFonts w:ascii="Arial" w:hAnsi="Arial" w:cs="Arial"/>
                <w:sz w:val="24"/>
                <w:szCs w:val="24"/>
              </w:rPr>
            </w:pPr>
            <w:r>
              <w:rPr>
                <w:rFonts w:cs="Arial" w:ascii="Arial" w:hAnsi="Arial"/>
                <w:sz w:val="24"/>
                <w:szCs w:val="24"/>
              </w:rPr>
            </w:r>
          </w:p>
        </w:tc>
        <w:tc>
          <w:tcPr>
            <w:tcW w:w="2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En desacuerdo</w:t>
            </w:r>
          </w:p>
          <w:p>
            <w:pPr>
              <w:pStyle w:val="Normal"/>
              <w:widowControl w:val="false"/>
              <w:tabs>
                <w:tab w:val="clear" w:pos="708"/>
                <w:tab w:val="center" w:pos="837" w:leader="none"/>
              </w:tabs>
              <w:spacing w:lineRule="auto" w:line="240" w:before="0" w:after="0"/>
              <w:jc w:val="center"/>
              <w:rPr>
                <w:rFonts w:ascii="Arial" w:hAnsi="Arial" w:cs="Arial"/>
                <w:sz w:val="24"/>
                <w:szCs w:val="24"/>
              </w:rPr>
            </w:pPr>
            <w:r>
              <w:rPr>
                <w:rFonts w:cs="Arial" w:ascii="Arial" w:hAnsi="Arial"/>
                <w:sz w:val="24"/>
                <w:szCs w:val="24"/>
              </w:rPr>
            </w:r>
          </w:p>
        </w:tc>
        <w:tc>
          <w:tcPr>
            <w:tcW w:w="20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MenD</w:t>
            </w:r>
          </w:p>
        </w:tc>
      </w:tr>
      <w:tr>
        <w:trPr>
          <w:trHeight w:val="204" w:hRule="atLeast"/>
        </w:trPr>
        <w:tc>
          <w:tcPr>
            <w:tcW w:w="1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cs="Arial" w:ascii="Arial" w:hAnsi="Arial"/>
                <w:sz w:val="24"/>
                <w:szCs w:val="24"/>
              </w:rPr>
            </w:r>
          </w:p>
        </w:tc>
        <w:tc>
          <w:tcPr>
            <w:tcW w:w="18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w:t>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w:t>
            </w:r>
          </w:p>
        </w:tc>
        <w:tc>
          <w:tcPr>
            <w:tcW w:w="2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w:t>
            </w:r>
          </w:p>
        </w:tc>
        <w:tc>
          <w:tcPr>
            <w:tcW w:w="20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w:t>
            </w:r>
          </w:p>
        </w:tc>
      </w:tr>
      <w:tr>
        <w:trPr>
          <w:trHeight w:val="204" w:hRule="atLeast"/>
        </w:trPr>
        <w:tc>
          <w:tcPr>
            <w:tcW w:w="17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Estudiante</w:t>
            </w:r>
          </w:p>
        </w:tc>
        <w:tc>
          <w:tcPr>
            <w:tcW w:w="18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798     28,3</w:t>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1003       35,6</w:t>
            </w:r>
          </w:p>
        </w:tc>
        <w:tc>
          <w:tcPr>
            <w:tcW w:w="2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799     28,4</w:t>
            </w:r>
          </w:p>
        </w:tc>
        <w:tc>
          <w:tcPr>
            <w:tcW w:w="20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216     7,7</w:t>
            </w:r>
          </w:p>
        </w:tc>
      </w:tr>
      <w:tr>
        <w:trPr>
          <w:trHeight w:val="193" w:hRule="atLeast"/>
        </w:trPr>
        <w:tc>
          <w:tcPr>
            <w:tcW w:w="17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Profesor</w:t>
            </w:r>
          </w:p>
        </w:tc>
        <w:tc>
          <w:tcPr>
            <w:tcW w:w="18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42      6,9</w:t>
            </w:r>
          </w:p>
        </w:tc>
        <w:tc>
          <w:tcPr>
            <w:tcW w:w="23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222        36,5</w:t>
            </w:r>
          </w:p>
        </w:tc>
        <w:tc>
          <w:tcPr>
            <w:tcW w:w="2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272     44,7</w:t>
            </w:r>
          </w:p>
        </w:tc>
        <w:tc>
          <w:tcPr>
            <w:tcW w:w="20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72     11,8</w:t>
            </w:r>
          </w:p>
        </w:tc>
      </w:tr>
    </w:tbl>
    <w:p>
      <w:pPr>
        <w:pStyle w:val="Normal"/>
        <w:spacing w:lineRule="auto" w:line="360" w:before="0" w:after="0"/>
        <w:mirrorIndents/>
        <w:jc w:val="both"/>
        <w:rPr>
          <w:rFonts w:ascii="Arial" w:hAnsi="Arial" w:cs="Arial"/>
          <w:sz w:val="24"/>
          <w:szCs w:val="24"/>
        </w:rPr>
      </w:pPr>
      <w:r>
        <w:rPr>
          <w:rFonts w:cs="Arial" w:ascii="Arial" w:hAnsi="Arial"/>
          <w:sz w:val="24"/>
          <w:szCs w:val="24"/>
        </w:rPr>
        <w:t>n (estudiantes)= 88                          n (profesores)= 19</w:t>
      </w:r>
    </w:p>
    <w:p>
      <w:pPr>
        <w:pStyle w:val="Normal"/>
        <w:spacing w:lineRule="auto" w:line="360" w:before="0" w:after="0"/>
        <w:jc w:val="both"/>
        <w:rPr>
          <w:rFonts w:ascii="Arial" w:hAnsi="Arial" w:cs="Arial"/>
          <w:sz w:val="24"/>
          <w:szCs w:val="24"/>
        </w:rPr>
      </w:pPr>
      <w:r>
        <w:rPr>
          <w:rFonts w:cs="Arial" w:ascii="Arial" w:hAnsi="Arial"/>
          <w:sz w:val="24"/>
          <w:szCs w:val="24"/>
        </w:rPr>
        <w:t>Leyenda:     MdeA - Muy de acuerdo      MenD - Muy en desacuerdo</w:t>
      </w:r>
    </w:p>
    <w:p>
      <w:pPr>
        <w:pStyle w:val="Normal"/>
        <w:spacing w:lineRule="auto" w:line="360" w:before="0" w:after="0"/>
        <w:mirrorIndents/>
        <w:jc w:val="both"/>
        <w:rPr>
          <w:rFonts w:ascii="Arial" w:hAnsi="Arial" w:cs="Arial"/>
          <w:sz w:val="24"/>
          <w:szCs w:val="24"/>
        </w:rPr>
      </w:pPr>
      <w:r>
        <w:rPr>
          <w:rFonts w:cs="Arial" w:ascii="Arial" w:hAnsi="Arial"/>
          <w:sz w:val="24"/>
          <w:szCs w:val="24"/>
        </w:rPr>
        <w:t>Al hacer coincidir las respuestas con la escala, se obtuvieron los resultados presentados en el cuadro 2 donde se aprecia que el aprendizaje de los estudiantes percibidos por ellos mismos es significativo (64 %), mientras los profesores consideran que predomina un aprendizaje no significativo (56,6 %).</w:t>
      </w:r>
    </w:p>
    <w:p>
      <w:pPr>
        <w:pStyle w:val="Normal"/>
        <w:spacing w:lineRule="auto" w:line="360" w:before="0" w:after="0"/>
        <w:mirrorIndents/>
        <w:jc w:val="both"/>
        <w:rPr>
          <w:rFonts w:ascii="Arial" w:hAnsi="Arial" w:cs="Arial"/>
          <w:sz w:val="24"/>
          <w:szCs w:val="24"/>
        </w:rPr>
      </w:pPr>
      <w:r>
        <w:rPr>
          <w:rFonts w:cs="Arial" w:ascii="Arial" w:hAnsi="Arial"/>
          <w:sz w:val="24"/>
          <w:szCs w:val="24"/>
        </w:rPr>
        <w:t>Cuadro 2. Tipo de aprendizaje de los estudiantes.</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1863"/>
        <w:gridCol w:w="3853"/>
        <w:gridCol w:w="4256"/>
      </w:tblGrid>
      <w:tr>
        <w:trPr>
          <w:trHeight w:val="284" w:hRule="exact"/>
        </w:trPr>
        <w:tc>
          <w:tcPr>
            <w:tcW w:w="99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Tipo de aprendizaje</w:t>
            </w:r>
          </w:p>
        </w:tc>
      </w:tr>
      <w:tr>
        <w:trPr>
          <w:trHeight w:val="277" w:hRule="atLeast"/>
        </w:trPr>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Encuestado</w:t>
            </w:r>
          </w:p>
        </w:tc>
        <w:tc>
          <w:tcPr>
            <w:tcW w:w="38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AS (%)</w:t>
            </w:r>
          </w:p>
        </w:tc>
        <w:tc>
          <w:tcPr>
            <w:tcW w:w="4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ANS (%)</w:t>
            </w:r>
          </w:p>
        </w:tc>
      </w:tr>
      <w:tr>
        <w:trPr>
          <w:trHeight w:val="288" w:hRule="exact"/>
        </w:trPr>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Estudiante</w:t>
            </w:r>
          </w:p>
          <w:p>
            <w:pPr>
              <w:pStyle w:val="Normal"/>
              <w:widowControl w:val="false"/>
              <w:spacing w:lineRule="auto" w:line="240" w:before="0" w:after="0"/>
              <w:jc w:val="center"/>
              <w:rPr>
                <w:rFonts w:ascii="Arial" w:hAnsi="Arial" w:cs="Arial"/>
                <w:sz w:val="24"/>
                <w:szCs w:val="20"/>
              </w:rPr>
            </w:pPr>
            <w:r>
              <w:rPr>
                <w:rFonts w:cs="Arial" w:ascii="Arial" w:hAnsi="Arial"/>
                <w:sz w:val="24"/>
                <w:szCs w:val="20"/>
              </w:rPr>
            </w:r>
          </w:p>
        </w:tc>
        <w:tc>
          <w:tcPr>
            <w:tcW w:w="38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64</w:t>
            </w:r>
          </w:p>
        </w:tc>
        <w:tc>
          <w:tcPr>
            <w:tcW w:w="4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36</w:t>
            </w:r>
          </w:p>
          <w:p>
            <w:pPr>
              <w:pStyle w:val="Normal"/>
              <w:widowControl w:val="false"/>
              <w:spacing w:lineRule="auto" w:line="240" w:before="0" w:after="0"/>
              <w:jc w:val="center"/>
              <w:rPr>
                <w:rFonts w:ascii="Arial" w:hAnsi="Arial" w:cs="Arial"/>
                <w:sz w:val="24"/>
                <w:szCs w:val="20"/>
              </w:rPr>
            </w:pPr>
            <w:r>
              <w:rPr>
                <w:rFonts w:cs="Arial" w:ascii="Arial" w:hAnsi="Arial"/>
                <w:sz w:val="24"/>
                <w:szCs w:val="20"/>
              </w:rPr>
            </w:r>
          </w:p>
        </w:tc>
      </w:tr>
      <w:tr>
        <w:trPr>
          <w:trHeight w:val="340" w:hRule="exact"/>
        </w:trPr>
        <w:tc>
          <w:tcPr>
            <w:tcW w:w="1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Profesor</w:t>
            </w:r>
          </w:p>
        </w:tc>
        <w:tc>
          <w:tcPr>
            <w:tcW w:w="38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43,4</w:t>
            </w:r>
          </w:p>
        </w:tc>
        <w:tc>
          <w:tcPr>
            <w:tcW w:w="4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0"/>
              </w:rPr>
            </w:pPr>
            <w:r>
              <w:rPr>
                <w:rFonts w:cs="Arial" w:ascii="Arial" w:hAnsi="Arial"/>
                <w:sz w:val="24"/>
                <w:szCs w:val="20"/>
              </w:rPr>
              <w:t>56,6</w:t>
            </w:r>
          </w:p>
        </w:tc>
      </w:tr>
    </w:tbl>
    <w:p>
      <w:pPr>
        <w:pStyle w:val="Normal"/>
        <w:spacing w:lineRule="auto" w:line="360" w:before="0" w:after="0"/>
        <w:mirrorIndents/>
        <w:jc w:val="both"/>
        <w:rPr>
          <w:rFonts w:ascii="Arial" w:hAnsi="Arial" w:cs="Arial"/>
          <w:sz w:val="24"/>
          <w:szCs w:val="24"/>
        </w:rPr>
      </w:pPr>
      <w:r>
        <w:rPr>
          <w:rFonts w:cs="Arial" w:ascii="Arial" w:hAnsi="Arial"/>
          <w:sz w:val="24"/>
          <w:szCs w:val="24"/>
        </w:rPr>
        <w:t>n (estudiantes)= 88                          n (profesores)= 19</w:t>
      </w:r>
    </w:p>
    <w:p>
      <w:pPr>
        <w:pStyle w:val="Normal"/>
        <w:spacing w:lineRule="auto" w:line="360" w:before="0" w:after="0"/>
        <w:mirrorIndents/>
        <w:jc w:val="both"/>
        <w:rPr>
          <w:rFonts w:ascii="Arial" w:hAnsi="Arial" w:cs="Arial"/>
          <w:sz w:val="24"/>
          <w:szCs w:val="24"/>
        </w:rPr>
      </w:pPr>
      <w:r>
        <w:rPr>
          <w:rFonts w:cs="Arial" w:ascii="Arial" w:hAnsi="Arial"/>
          <w:sz w:val="24"/>
          <w:szCs w:val="24"/>
        </w:rPr>
        <w:t>Se procedió a calcular el porcentaje de las estrategias de aprendizaje exploradas utilizando la homologación propuesta, a partir del procesamiento de las respuestas obtenidas en los cuestionarios, arrojando los resultados mostrados en el cuadro 3, donde las estrategias cognitivas fueron las que predominaron en los estudiantes: según los estudiantes predominaron en 81,7 % y según los profesores predominaron en 57,6 %. En las estrategias metacognitivas predominó el aprendizaje no significativo en 53,8 % según los estudiantes y en 70,7 % según los profesores.</w:t>
      </w:r>
    </w:p>
    <w:p>
      <w:pPr>
        <w:pStyle w:val="Normal"/>
        <w:spacing w:lineRule="auto" w:line="360" w:before="0" w:after="0"/>
        <w:mirrorIndents/>
        <w:jc w:val="both"/>
        <w:rPr>
          <w:rFonts w:ascii="Arial" w:hAnsi="Arial" w:cs="Arial"/>
          <w:sz w:val="24"/>
          <w:szCs w:val="24"/>
        </w:rPr>
      </w:pPr>
      <w:r>
        <w:rPr>
          <w:rFonts w:cs="Arial" w:ascii="Arial" w:hAnsi="Arial"/>
          <w:sz w:val="24"/>
          <w:szCs w:val="24"/>
        </w:rPr>
        <w:t xml:space="preserve">Cuadro 3: Porcentaje del tipo de aprendizaje de los estudiantes según las estrategias exploradas. </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2078"/>
        <w:gridCol w:w="1414"/>
        <w:gridCol w:w="2159"/>
        <w:gridCol w:w="2813"/>
        <w:gridCol w:w="1508"/>
      </w:tblGrid>
      <w:tr>
        <w:trPr>
          <w:trHeight w:val="284" w:hRule="exact"/>
        </w:trPr>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Arial" w:hAnsi="Arial" w:cs="Arial"/>
                <w:sz w:val="24"/>
                <w:szCs w:val="24"/>
              </w:rPr>
            </w:pPr>
            <w:r>
              <w:rPr>
                <w:rFonts w:cs="Arial" w:ascii="Arial" w:hAnsi="Arial"/>
                <w:sz w:val="24"/>
                <w:szCs w:val="24"/>
              </w:rPr>
            </w:r>
          </w:p>
        </w:tc>
        <w:tc>
          <w:tcPr>
            <w:tcW w:w="35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Estrategias cognitivas</w:t>
            </w:r>
          </w:p>
        </w:tc>
        <w:tc>
          <w:tcPr>
            <w:tcW w:w="432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Estrategias metacognitivas</w:t>
            </w:r>
          </w:p>
        </w:tc>
      </w:tr>
      <w:tr>
        <w:trPr>
          <w:trHeight w:val="284" w:hRule="exact"/>
        </w:trPr>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Encuestado</w:t>
            </w:r>
          </w:p>
        </w:tc>
        <w:tc>
          <w:tcPr>
            <w:tcW w:w="14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AS</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335" w:hanging="0"/>
              <w:jc w:val="center"/>
              <w:rPr>
                <w:rFonts w:ascii="Arial" w:hAnsi="Arial" w:cs="Arial"/>
                <w:sz w:val="24"/>
                <w:szCs w:val="24"/>
              </w:rPr>
            </w:pPr>
            <w:r>
              <w:rPr>
                <w:rFonts w:cs="Arial" w:ascii="Arial" w:hAnsi="Arial"/>
                <w:sz w:val="24"/>
                <w:szCs w:val="24"/>
              </w:rPr>
              <w:t>ANS</w:t>
            </w:r>
          </w:p>
        </w:tc>
        <w:tc>
          <w:tcPr>
            <w:tcW w:w="2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eastAsia="Arial" w:cs="Arial" w:ascii="Arial" w:hAnsi="Arial"/>
                <w:sz w:val="24"/>
                <w:szCs w:val="24"/>
              </w:rPr>
              <w:t xml:space="preserve">AS       </w:t>
            </w:r>
          </w:p>
        </w:tc>
        <w:tc>
          <w:tcPr>
            <w:tcW w:w="15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ANS</w:t>
            </w:r>
          </w:p>
        </w:tc>
      </w:tr>
      <w:tr>
        <w:trPr>
          <w:trHeight w:val="284" w:hRule="exact"/>
        </w:trPr>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Estudiante</w:t>
            </w:r>
          </w:p>
          <w:p>
            <w:pPr>
              <w:pStyle w:val="Normal"/>
              <w:widowControl w:val="false"/>
              <w:spacing w:lineRule="auto" w:line="240" w:before="0" w:after="0"/>
              <w:jc w:val="center"/>
              <w:rPr>
                <w:rFonts w:ascii="Arial" w:hAnsi="Arial" w:cs="Arial"/>
                <w:sz w:val="24"/>
                <w:szCs w:val="24"/>
              </w:rPr>
            </w:pPr>
            <w:r>
              <w:rPr>
                <w:rFonts w:cs="Arial" w:ascii="Arial" w:hAnsi="Arial"/>
                <w:sz w:val="24"/>
                <w:szCs w:val="24"/>
              </w:rPr>
            </w:r>
          </w:p>
        </w:tc>
        <w:tc>
          <w:tcPr>
            <w:tcW w:w="14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Arial" w:cs="Arial"/>
                <w:sz w:val="24"/>
                <w:szCs w:val="24"/>
              </w:rPr>
            </w:pPr>
            <w:r>
              <w:rPr>
                <w:rFonts w:cs="Arial" w:ascii="Arial" w:hAnsi="Arial"/>
                <w:sz w:val="24"/>
                <w:szCs w:val="24"/>
              </w:rPr>
              <w:t>81,7</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60" w:hanging="0"/>
              <w:jc w:val="center"/>
              <w:rPr>
                <w:rFonts w:ascii="Arial" w:hAnsi="Arial" w:eastAsia="Arial" w:cs="Arial"/>
                <w:sz w:val="24"/>
                <w:szCs w:val="24"/>
              </w:rPr>
            </w:pPr>
            <w:r>
              <w:rPr>
                <w:rFonts w:cs="Arial" w:ascii="Arial" w:hAnsi="Arial"/>
                <w:sz w:val="24"/>
                <w:szCs w:val="24"/>
              </w:rPr>
              <w:t>18,3</w:t>
            </w:r>
          </w:p>
        </w:tc>
        <w:tc>
          <w:tcPr>
            <w:tcW w:w="2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Arial" w:cs="Arial"/>
                <w:sz w:val="24"/>
                <w:szCs w:val="24"/>
              </w:rPr>
            </w:pPr>
            <w:r>
              <w:rPr>
                <w:rFonts w:cs="Arial" w:ascii="Arial" w:hAnsi="Arial"/>
                <w:sz w:val="24"/>
                <w:szCs w:val="24"/>
              </w:rPr>
              <w:t>46,2</w:t>
            </w:r>
          </w:p>
        </w:tc>
        <w:tc>
          <w:tcPr>
            <w:tcW w:w="15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Arial" w:cs="Arial"/>
                <w:sz w:val="24"/>
                <w:szCs w:val="24"/>
              </w:rPr>
            </w:pPr>
            <w:r>
              <w:rPr>
                <w:rFonts w:cs="Arial" w:ascii="Arial" w:hAnsi="Arial"/>
                <w:sz w:val="24"/>
                <w:szCs w:val="24"/>
              </w:rPr>
              <w:t>53,8</w:t>
            </w:r>
          </w:p>
        </w:tc>
      </w:tr>
      <w:tr>
        <w:trPr>
          <w:trHeight w:val="315" w:hRule="exact"/>
        </w:trPr>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Profesor</w:t>
            </w:r>
          </w:p>
        </w:tc>
        <w:tc>
          <w:tcPr>
            <w:tcW w:w="14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57,6</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3" w:hanging="0"/>
              <w:jc w:val="center"/>
              <w:rPr>
                <w:rFonts w:ascii="Arial" w:hAnsi="Arial" w:cs="Arial"/>
                <w:sz w:val="24"/>
                <w:szCs w:val="24"/>
              </w:rPr>
            </w:pPr>
            <w:r>
              <w:rPr>
                <w:rFonts w:cs="Arial" w:ascii="Arial" w:hAnsi="Arial"/>
                <w:sz w:val="24"/>
                <w:szCs w:val="24"/>
              </w:rPr>
              <w:t>42,4</w:t>
            </w:r>
          </w:p>
        </w:tc>
        <w:tc>
          <w:tcPr>
            <w:tcW w:w="2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29,3</w:t>
            </w:r>
          </w:p>
        </w:tc>
        <w:tc>
          <w:tcPr>
            <w:tcW w:w="15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sz w:val="24"/>
                <w:szCs w:val="24"/>
              </w:rPr>
            </w:pPr>
            <w:r>
              <w:rPr>
                <w:rFonts w:cs="Arial" w:ascii="Arial" w:hAnsi="Arial"/>
                <w:sz w:val="24"/>
                <w:szCs w:val="24"/>
              </w:rPr>
              <w:t>70,7</w:t>
            </w:r>
          </w:p>
        </w:tc>
      </w:tr>
    </w:tbl>
    <w:p>
      <w:pPr>
        <w:pStyle w:val="Normal"/>
        <w:spacing w:lineRule="auto" w:line="360" w:before="0" w:after="0"/>
        <w:mirrorIndents/>
        <w:jc w:val="both"/>
        <w:rPr>
          <w:rFonts w:ascii="Arial" w:hAnsi="Arial" w:cs="Arial"/>
          <w:sz w:val="24"/>
          <w:szCs w:val="24"/>
        </w:rPr>
      </w:pPr>
      <w:r>
        <w:rPr>
          <w:rFonts w:cs="Arial" w:ascii="Arial" w:hAnsi="Arial"/>
          <w:sz w:val="24"/>
          <w:szCs w:val="24"/>
        </w:rPr>
        <w:t>n (estudiantes)= 88                                n (profesores)= 19</w:t>
      </w:r>
    </w:p>
    <w:p>
      <w:pPr>
        <w:pStyle w:val="Normal"/>
        <w:spacing w:lineRule="auto" w:line="360" w:before="0" w:after="0"/>
        <w:mirrorIndents/>
        <w:jc w:val="both"/>
        <w:rPr>
          <w:rFonts w:ascii="Arial" w:hAnsi="Arial" w:cs="Arial"/>
          <w:sz w:val="24"/>
          <w:szCs w:val="24"/>
        </w:rPr>
      </w:pPr>
      <w:r>
        <w:rPr>
          <w:rFonts w:cs="Arial" w:ascii="Arial" w:hAnsi="Arial"/>
          <w:sz w:val="24"/>
          <w:szCs w:val="24"/>
        </w:rPr>
        <w:t>En el cuadro 4 se muestran los resultados de las preguntas realizadas a los estudiantes y profesores en cuanto a las estrategias cognitivas se refiere, en el cual se aprecia que en las preguntas relacionadas con la importancia de entender los contenidos, el estado anímico positivo, la utilidad de aprenderse los contenidos y el estudio con interés por aprender, fueron en las que predominó la positividad de las respuestas en los estudiantes, esta última coincide en los profesores, los que también fueron más positivos en las preguntas relacionadas con la organización según algún criterio de lo que se va a memorizar y en la buena condición física de los estudiantes. Se aprecia además que los profesores respondieron menos en los extremos de respuestas (Muy de acuerdo - Muy en desacuerdo) con respecto a los estudiantes.</w:t>
      </w:r>
    </w:p>
    <w:p>
      <w:pPr>
        <w:pStyle w:val="Normal"/>
        <w:spacing w:lineRule="auto" w:line="360" w:before="0" w:after="0"/>
        <w:jc w:val="both"/>
        <w:rPr>
          <w:rFonts w:ascii="Arial" w:hAnsi="Arial" w:cs="Arial"/>
          <w:sz w:val="24"/>
          <w:szCs w:val="24"/>
        </w:rPr>
      </w:pPr>
      <w:r>
        <w:rPr>
          <w:rFonts w:cs="Arial" w:ascii="Arial" w:hAnsi="Arial"/>
          <w:sz w:val="24"/>
          <w:szCs w:val="24"/>
        </w:rPr>
        <w:t>Cuadro 4. Respuestas obtenidas para las estrategias cognitivas en los estudiantes y profesores.</w:t>
      </w:r>
    </w:p>
    <w:tbl>
      <w:tblPr>
        <w:tblStyle w:val="Tablaconcuadrcula"/>
        <w:tblW w:w="99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32"/>
        <w:gridCol w:w="576"/>
        <w:gridCol w:w="550"/>
        <w:gridCol w:w="550"/>
        <w:gridCol w:w="591"/>
        <w:gridCol w:w="576"/>
        <w:gridCol w:w="550"/>
        <w:gridCol w:w="550"/>
        <w:gridCol w:w="588"/>
      </w:tblGrid>
      <w:tr>
        <w:trPr/>
        <w:tc>
          <w:tcPr>
            <w:tcW w:w="5432" w:type="dxa"/>
            <w:vMerge w:val="restart"/>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Estrategias cognitivas</w:t>
            </w:r>
          </w:p>
        </w:tc>
        <w:tc>
          <w:tcPr>
            <w:tcW w:w="2267" w:type="dxa"/>
            <w:gridSpan w:val="4"/>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Estudiantes</w:t>
            </w:r>
          </w:p>
        </w:tc>
        <w:tc>
          <w:tcPr>
            <w:tcW w:w="2264" w:type="dxa"/>
            <w:gridSpan w:val="4"/>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Profesores</w:t>
            </w:r>
          </w:p>
        </w:tc>
      </w:tr>
      <w:tr>
        <w:trPr/>
        <w:tc>
          <w:tcPr>
            <w:tcW w:w="5432" w:type="dxa"/>
            <w:vMerge w:val="continue"/>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cs="Arial" w:ascii="Arial" w:hAnsi="Arial"/>
                <w:sz w:val="24"/>
                <w:szCs w:val="24"/>
              </w:rPr>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DA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ED</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MD</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DA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ED</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MD</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 Capacidad de tomar apuntes en clases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 Estudiar con interés por aprender</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ES" w:eastAsia="en-US" w:bidi="ar-SA"/>
              </w:rPr>
              <w:t>3. Importancia de aprender los contenidos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4. Capacidad de aprender  los conceptos básicos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ES" w:eastAsia="en-US" w:bidi="ar-SA"/>
              </w:rPr>
              <w:t>6. Importancia de entender los contenidos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r>
      <w:tr>
        <w:trPr/>
        <w:tc>
          <w:tcPr>
            <w:tcW w:w="5432" w:type="dxa"/>
            <w:tcBorders/>
            <w:vAlign w:val="center"/>
          </w:tcPr>
          <w:p>
            <w:pPr>
              <w:pStyle w:val="Normal"/>
              <w:widowControl w:val="false"/>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ES" w:eastAsia="en-US" w:bidi="ar-SA"/>
              </w:rPr>
              <w:t>7. Estado anímico positivo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10. Capacidad de relajación en momentos estresantes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30</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11. Creación de ambiente de estudio adecuado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38</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19</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13. Buenas relaciones con compañeros de clase</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23</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14. Dormir y descansar lo necesario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25</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18. Utilidad de aprenderse los contenidos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21. Organizar según criterios lo que se va a memorizar</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17</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24. Encontrarse bien físicamente</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25. Conseguir lo propuesto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21</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28. Estudiar en un sitio donde se pueda concentrar</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15</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30. Conocimiento de dónde encontrar lo necesario para estudiar</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18</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r>
    </w:tbl>
    <w:p>
      <w:pPr>
        <w:pStyle w:val="Normal"/>
        <w:spacing w:lineRule="auto" w:line="360" w:before="0" w:after="0"/>
        <w:mirrorIndents/>
        <w:jc w:val="both"/>
        <w:rPr>
          <w:rFonts w:ascii="Arial" w:hAnsi="Arial" w:cs="Arial"/>
          <w:sz w:val="24"/>
          <w:szCs w:val="24"/>
        </w:rPr>
      </w:pPr>
      <w:r>
        <w:rPr>
          <w:rFonts w:cs="Arial" w:ascii="Arial" w:hAnsi="Arial"/>
          <w:sz w:val="24"/>
          <w:szCs w:val="24"/>
        </w:rPr>
      </w:r>
    </w:p>
    <w:p>
      <w:pPr>
        <w:pStyle w:val="Normal"/>
        <w:spacing w:lineRule="auto" w:line="360" w:before="0" w:after="0"/>
        <w:mirrorIndents/>
        <w:jc w:val="both"/>
        <w:rPr>
          <w:rFonts w:ascii="Arial" w:hAnsi="Arial" w:cs="Arial"/>
          <w:sz w:val="24"/>
          <w:szCs w:val="24"/>
        </w:rPr>
      </w:pPr>
      <w:r>
        <w:rPr>
          <w:rFonts w:cs="Arial" w:ascii="Arial" w:hAnsi="Arial"/>
          <w:sz w:val="24"/>
          <w:szCs w:val="24"/>
        </w:rPr>
        <w:t xml:space="preserve">En el cuadro 5 se observan los resultados de las preguntas realizadas a los estudiantes y profesores sobre las estrategias metacognitivas, donde en el caso de los estudiantes se apreció mayor negatividad de respuestas en las preguntas relacionadas con la reutilización de lo aprendido en otras asignaturas, capacidad de estimulación del trabajo en equipo, capacidad de estudiar a partir de varias fuentes, el anclaje del nuevo conocimiento sobre lo ya conocido, la realización de esquemas para estudiar y en la selección de conceptos y relacionarlos entre sí; mientras en los profesores además de coincidir con estas respuestas negativas de los estudiantes, también fueron muy negativos en las preguntas relacionadas con el aprendizaje de nuevas técnicas y habilidades para estudiar, cambio de la forma de estudio cuando sea necesario, conocimiento de los objetivos y de los criterios de evaluación. </w:t>
      </w:r>
    </w:p>
    <w:p>
      <w:pPr>
        <w:pStyle w:val="Normal"/>
        <w:tabs>
          <w:tab w:val="clear" w:pos="708"/>
          <w:tab w:val="left" w:pos="2379" w:leader="none"/>
        </w:tabs>
        <w:spacing w:lineRule="auto" w:line="360" w:before="0" w:after="0"/>
        <w:jc w:val="both"/>
        <w:rPr>
          <w:rFonts w:ascii="Arial" w:hAnsi="Arial" w:cs="Arial"/>
          <w:sz w:val="24"/>
          <w:szCs w:val="24"/>
        </w:rPr>
      </w:pPr>
      <w:r>
        <w:rPr>
          <w:rFonts w:cs="Arial" w:ascii="Arial" w:hAnsi="Arial"/>
          <w:sz w:val="24"/>
          <w:szCs w:val="24"/>
        </w:rPr>
        <w:t>Cuadro 5. Respuestas obtenidas para las estrategias metacognitivas en los estudiantes y profesores.</w:t>
      </w:r>
    </w:p>
    <w:tbl>
      <w:tblPr>
        <w:tblStyle w:val="Tablaconcuadrcula"/>
        <w:tblW w:w="99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32"/>
        <w:gridCol w:w="576"/>
        <w:gridCol w:w="550"/>
        <w:gridCol w:w="550"/>
        <w:gridCol w:w="591"/>
        <w:gridCol w:w="576"/>
        <w:gridCol w:w="550"/>
        <w:gridCol w:w="550"/>
        <w:gridCol w:w="588"/>
      </w:tblGrid>
      <w:tr>
        <w:trPr/>
        <w:tc>
          <w:tcPr>
            <w:tcW w:w="5432" w:type="dxa"/>
            <w:vMerge w:val="restart"/>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Estrategias metacognitivas</w:t>
            </w:r>
          </w:p>
        </w:tc>
        <w:tc>
          <w:tcPr>
            <w:tcW w:w="2267" w:type="dxa"/>
            <w:gridSpan w:val="4"/>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Estudiantes</w:t>
            </w:r>
          </w:p>
        </w:tc>
        <w:tc>
          <w:tcPr>
            <w:tcW w:w="2264" w:type="dxa"/>
            <w:gridSpan w:val="4"/>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Profesores</w:t>
            </w:r>
          </w:p>
        </w:tc>
      </w:tr>
      <w:tr>
        <w:trPr/>
        <w:tc>
          <w:tcPr>
            <w:tcW w:w="5432" w:type="dxa"/>
            <w:vMerge w:val="continue"/>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cs="Arial" w:ascii="Arial" w:hAnsi="Arial"/>
                <w:sz w:val="24"/>
                <w:szCs w:val="24"/>
              </w:rPr>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DA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ED</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MD</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DA</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ED</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MD</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5. Reutilización de lo aprendido en otras asignaturas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62</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8. Formulación de preguntas para evaluar aprendizaje</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14</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ES" w:eastAsia="en-US" w:bidi="ar-SA"/>
              </w:rPr>
              <w:t>9. Eficiencia para organizar, resumir y sintetizar</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19</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8</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12. Cambiar forma de estudio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ES" w:eastAsia="en-US" w:bidi="ar-SA"/>
              </w:rPr>
              <w:t>15. Conciencia de estrategias y hábitos de estudio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42</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ES" w:eastAsia="en-US" w:bidi="ar-SA"/>
              </w:rPr>
              <w:t>16. Capacidad de seleccionar lo fundamental</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39</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18</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17. Conocimiento de los objetivos de los temas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35</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24</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19. Capacidad de estimulación del trabajo en equipo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58</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13</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20. Conocimiento de los criterios de evaluación</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28</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37</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22. Necesidad de aclarar lo incomprendido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23. Capacidad de estudiar a partir de varias fuentes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51</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15</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26. Anclaje del nuevo conocimiento sobre lo conocido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52</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12</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27. Aprendizaje de nuevas técnicas y habilidades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44</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10</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5</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29. Realización de esquemas</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42</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26</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31. Selección de conceptos y relacionarlos entre sí</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47</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24</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3</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9</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7</w:t>
            </w:r>
          </w:p>
        </w:tc>
      </w:tr>
      <w:tr>
        <w:trPr/>
        <w:tc>
          <w:tcPr>
            <w:tcW w:w="5432" w:type="dxa"/>
            <w:tcBorders/>
            <w:vAlign w:val="center"/>
          </w:tcPr>
          <w:p>
            <w:pPr>
              <w:pStyle w:val="Normal"/>
              <w:widowControl w:val="false"/>
              <w:tabs>
                <w:tab w:val="clear" w:pos="708"/>
                <w:tab w:val="left" w:pos="330" w:leader="none"/>
                <w:tab w:val="left" w:pos="454" w:leader="none"/>
              </w:tabs>
              <w:suppressAutoHyphens w:val="true"/>
              <w:spacing w:lineRule="auto" w:line="240" w:before="0" w:after="0"/>
              <w:mirrorIndents/>
              <w:jc w:val="both"/>
              <w:rPr>
                <w:rFonts w:ascii="Arial" w:hAnsi="Arial" w:cs="Arial"/>
                <w:sz w:val="24"/>
                <w:szCs w:val="24"/>
              </w:rPr>
            </w:pPr>
            <w:r>
              <w:rPr>
                <w:rFonts w:eastAsia="Calibri" w:cs="Arial" w:ascii="Arial" w:hAnsi="Arial"/>
                <w:kern w:val="0"/>
                <w:sz w:val="24"/>
                <w:szCs w:val="24"/>
                <w:lang w:val="es-ES" w:eastAsia="en-US" w:bidi="ar-SA"/>
              </w:rPr>
              <w:t>32. Idea global o general del contenido</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15</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43</w:t>
            </w:r>
          </w:p>
        </w:tc>
        <w:tc>
          <w:tcPr>
            <w:tcW w:w="591"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19</w:t>
            </w:r>
          </w:p>
        </w:tc>
        <w:tc>
          <w:tcPr>
            <w:tcW w:w="576"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6</w:t>
            </w:r>
          </w:p>
        </w:tc>
        <w:tc>
          <w:tcPr>
            <w:tcW w:w="550"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11</w:t>
            </w:r>
          </w:p>
        </w:tc>
        <w:tc>
          <w:tcPr>
            <w:tcW w:w="588" w:type="dxa"/>
            <w:tcBorders/>
            <w:vAlign w:val="center"/>
          </w:tcPr>
          <w:p>
            <w:pPr>
              <w:pStyle w:val="Normal"/>
              <w:widowControl w:val="false"/>
              <w:suppressAutoHyphens w:val="true"/>
              <w:spacing w:lineRule="auto" w:line="240" w:before="0" w:after="0"/>
              <w:mirrorIndents/>
              <w:jc w:val="center"/>
              <w:rPr>
                <w:rFonts w:ascii="Arial" w:hAnsi="Arial" w:cs="Arial"/>
                <w:sz w:val="24"/>
                <w:szCs w:val="24"/>
              </w:rPr>
            </w:pPr>
            <w:r>
              <w:rPr>
                <w:rFonts w:eastAsia="Calibri" w:cs="Arial" w:ascii="Arial" w:hAnsi="Arial"/>
                <w:kern w:val="0"/>
                <w:sz w:val="24"/>
                <w:szCs w:val="24"/>
                <w:lang w:val="es-ES" w:eastAsia="en-US" w:bidi="ar-SA"/>
              </w:rPr>
              <w:t>2</w:t>
            </w:r>
          </w:p>
        </w:tc>
      </w:tr>
    </w:tbl>
    <w:p>
      <w:pPr>
        <w:pStyle w:val="Normal"/>
        <w:tabs>
          <w:tab w:val="clear" w:pos="708"/>
          <w:tab w:val="left" w:pos="2379" w:leader="none"/>
        </w:tabs>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mirrorIndents/>
        <w:jc w:val="both"/>
        <w:rPr>
          <w:rFonts w:ascii="Arial" w:hAnsi="Arial" w:cs="Arial"/>
          <w:sz w:val="24"/>
          <w:szCs w:val="24"/>
        </w:rPr>
      </w:pPr>
      <w:r>
        <w:rPr>
          <w:rFonts w:cs="Arial" w:ascii="Arial" w:hAnsi="Arial"/>
          <w:b/>
          <w:sz w:val="24"/>
          <w:szCs w:val="24"/>
        </w:rPr>
        <w:t>DISCUSIÓN</w:t>
      </w:r>
    </w:p>
    <w:p>
      <w:pPr>
        <w:pStyle w:val="Normal"/>
        <w:spacing w:lineRule="auto" w:line="360" w:before="0" w:after="0"/>
        <w:mirrorIndents/>
        <w:jc w:val="both"/>
        <w:rPr>
          <w:rFonts w:ascii="Arial" w:hAnsi="Arial" w:cs="Arial"/>
          <w:sz w:val="24"/>
          <w:szCs w:val="24"/>
        </w:rPr>
      </w:pPr>
      <w:r>
        <w:rPr>
          <w:rFonts w:cs="Arial" w:ascii="Arial" w:hAnsi="Arial"/>
          <w:sz w:val="24"/>
          <w:szCs w:val="24"/>
        </w:rPr>
        <w:t>A partir del análisis del tipo de aprendizaje de los estudiantes, los resultados coinciden con los obtenidos por Angulo Zaragoza A,</w:t>
      </w:r>
      <w:r>
        <w:rPr>
          <w:rFonts w:cs="Arial" w:ascii="Arial" w:hAnsi="Arial"/>
          <w:sz w:val="24"/>
          <w:szCs w:val="24"/>
          <w:vertAlign w:val="superscript"/>
        </w:rPr>
        <w:t xml:space="preserve"> 8 </w:t>
      </w:r>
      <w:r>
        <w:rPr>
          <w:rFonts w:cs="Arial" w:ascii="Arial" w:hAnsi="Arial"/>
          <w:sz w:val="24"/>
          <w:szCs w:val="24"/>
        </w:rPr>
        <w:t>que en su estudio sobre estilos de aprendizaje obtuvo que los estudiantes de primer año de medicina involucrados en su investigación prefirieron los estilos activos; los cuales además necesitaban ser fortalecidos. En el marco introductorio se establecen las relaciones entre aprendizaje activo y significativo. Se coincide además con Dionisio de Cabalier ME y Chalub DM,</w:t>
      </w:r>
      <w:r>
        <w:rPr>
          <w:rFonts w:cs="Arial" w:ascii="Arial" w:hAnsi="Arial"/>
          <w:sz w:val="24"/>
          <w:szCs w:val="24"/>
          <w:vertAlign w:val="superscript"/>
        </w:rPr>
        <w:t xml:space="preserve"> 9 </w:t>
      </w:r>
      <w:r>
        <w:rPr>
          <w:rFonts w:cs="Arial" w:ascii="Arial" w:hAnsi="Arial"/>
          <w:sz w:val="24"/>
          <w:szCs w:val="24"/>
        </w:rPr>
        <w:t>autoras que encontraron que, a pesar de que los alumnos demostraron significatividad en su aprendizaje, los niveles no fueron óptimos. Sin embargo, los resultados discrepan con los de Julka Lázaro MO,</w:t>
      </w:r>
      <w:r>
        <w:rPr>
          <w:rFonts w:cs="Arial" w:ascii="Arial" w:hAnsi="Arial"/>
          <w:sz w:val="24"/>
          <w:szCs w:val="24"/>
          <w:vertAlign w:val="superscript"/>
        </w:rPr>
        <w:t xml:space="preserve"> 10 </w:t>
      </w:r>
      <w:r>
        <w:rPr>
          <w:rFonts w:cs="Arial" w:ascii="Arial" w:hAnsi="Arial"/>
          <w:sz w:val="24"/>
          <w:szCs w:val="24"/>
        </w:rPr>
        <w:t>que observó en estudiantes de una Facultad de Ciencias Médicas de Perú graves problemas de aprendizaje en el proceso de enseñanza aprendizaje expresados en un deficiente aprendizaje significativo.</w:t>
      </w:r>
    </w:p>
    <w:p>
      <w:pPr>
        <w:pStyle w:val="Normal"/>
        <w:spacing w:lineRule="auto" w:line="360" w:before="0" w:after="0"/>
        <w:mirrorIndents/>
        <w:jc w:val="both"/>
        <w:rPr>
          <w:rFonts w:ascii="Arial" w:hAnsi="Arial" w:cs="Arial"/>
          <w:sz w:val="24"/>
          <w:szCs w:val="24"/>
        </w:rPr>
      </w:pPr>
      <w:r>
        <w:rPr>
          <w:rFonts w:cs="Arial" w:ascii="Arial" w:hAnsi="Arial"/>
          <w:sz w:val="24"/>
          <w:szCs w:val="24"/>
        </w:rPr>
        <w:t xml:space="preserve">Las autoras opinan que las características del aprendizaje de los estudiantes de primer año de medicina, dependen en gran medida de los estilos de enseñanza aprendizaje experimentados en las enseñanzas precedentes. El profesor universitario debe aspirar a mejorar sus aprendizajes, por lo que se impone el desarrollo de estrategias docentes, en las que la preparación de los docentes, la motivación y la evaluación tanto de los estudiantes (autoevaluación) como de los profesores, tengan un desempeño fundamental. El docente debe guiar el aprendizaje de los estudiantes, indagando en sus formas de estudio para conocerlas y transformarlas en caso necesario. </w:t>
      </w:r>
    </w:p>
    <w:p>
      <w:pPr>
        <w:pStyle w:val="Normal"/>
        <w:spacing w:lineRule="auto" w:line="360" w:before="0" w:after="0"/>
        <w:mirrorIndents/>
        <w:jc w:val="both"/>
        <w:rPr>
          <w:rFonts w:ascii="Arial" w:hAnsi="Arial" w:cs="Arial"/>
          <w:sz w:val="24"/>
          <w:szCs w:val="24"/>
        </w:rPr>
      </w:pPr>
      <w:r>
        <w:rPr>
          <w:rFonts w:cs="Arial" w:ascii="Arial" w:hAnsi="Arial"/>
          <w:sz w:val="24"/>
          <w:szCs w:val="24"/>
        </w:rPr>
        <w:t>En cuanto a los resultados del tipo de estrategia que predominó en los estudiantes, se coincide con el trabajo realizado por Schell Celia,</w:t>
      </w:r>
      <w:r>
        <w:rPr>
          <w:rFonts w:cs="Arial" w:ascii="Arial" w:hAnsi="Arial"/>
          <w:sz w:val="24"/>
          <w:szCs w:val="24"/>
          <w:vertAlign w:val="superscript"/>
        </w:rPr>
        <w:t xml:space="preserve"> 11 </w:t>
      </w:r>
      <w:r>
        <w:rPr>
          <w:rFonts w:cs="Arial" w:ascii="Arial" w:hAnsi="Arial"/>
          <w:sz w:val="24"/>
          <w:szCs w:val="24"/>
        </w:rPr>
        <w:t>que evidenció la falta de estrategias de aprendizaje metacognitivas en alumnos de ciclo básico de la carrera de medicina, que se encontraban cursando la asignatura de Anatomía A, en la Universidad Nacional de La Plata. Se coincide además con autores que obtuvieron en sus investigaciones que los estudiantes monitoreaban su aprendizaje inapropiadamente debido a la carencia de metacognición y que era necesario apoyar los procesos metacognitivos.</w:t>
      </w:r>
      <w:r>
        <w:rPr>
          <w:rFonts w:cs="Arial" w:ascii="Arial" w:hAnsi="Arial"/>
          <w:sz w:val="24"/>
          <w:szCs w:val="24"/>
          <w:vertAlign w:val="superscript"/>
        </w:rPr>
        <w:t>12, 13,14</w:t>
      </w:r>
    </w:p>
    <w:p>
      <w:pPr>
        <w:pStyle w:val="Normal"/>
        <w:spacing w:lineRule="auto" w:line="360" w:before="0" w:after="0"/>
        <w:mirrorIndents/>
        <w:jc w:val="both"/>
        <w:rPr>
          <w:rFonts w:ascii="Arial" w:hAnsi="Arial" w:cs="Arial"/>
          <w:sz w:val="24"/>
          <w:szCs w:val="24"/>
        </w:rPr>
      </w:pPr>
      <w:r>
        <w:rPr>
          <w:rFonts w:cs="Arial" w:ascii="Arial" w:hAnsi="Arial"/>
          <w:sz w:val="24"/>
          <w:szCs w:val="24"/>
        </w:rPr>
        <w:t>Se coincide con Álvarez Cruces y Otondo Briceño,</w:t>
      </w:r>
      <w:r>
        <w:rPr>
          <w:rFonts w:cs="Arial" w:ascii="Arial" w:hAnsi="Arial"/>
          <w:sz w:val="24"/>
          <w:szCs w:val="24"/>
          <w:vertAlign w:val="superscript"/>
        </w:rPr>
        <w:t xml:space="preserve"> 15 </w:t>
      </w:r>
      <w:r>
        <w:rPr>
          <w:rFonts w:cs="Arial" w:ascii="Arial" w:hAnsi="Arial"/>
          <w:sz w:val="24"/>
          <w:szCs w:val="24"/>
        </w:rPr>
        <w:t>que en un estudio con estudiantes chilenos de Odontología, observaron que los mismos no utilizan siempre las estrategias metacognitivas necesarias para lograr un aprendizaje significativo, ni las adaptan a los diferentes requerimientos de aprendizaje. Se coincide además con Cantillo Anaya, De la Hoz Molina y Cerchiaro Ceballos,</w:t>
      </w:r>
      <w:r>
        <w:rPr>
          <w:rFonts w:cs="Arial" w:ascii="Arial" w:hAnsi="Arial"/>
          <w:sz w:val="24"/>
          <w:szCs w:val="24"/>
          <w:vertAlign w:val="superscript"/>
        </w:rPr>
        <w:t xml:space="preserve"> 16 </w:t>
      </w:r>
      <w:r>
        <w:rPr>
          <w:rFonts w:cs="Arial" w:ascii="Arial" w:hAnsi="Arial"/>
          <w:sz w:val="24"/>
          <w:szCs w:val="24"/>
        </w:rPr>
        <w:t>que obtuvieron un nivel medio bajo en la actividad metacognitiva de estudiantes colombianos.</w:t>
      </w:r>
    </w:p>
    <w:p>
      <w:pPr>
        <w:pStyle w:val="Normal"/>
        <w:spacing w:lineRule="auto" w:line="360" w:before="0" w:after="0"/>
        <w:mirrorIndents/>
        <w:jc w:val="both"/>
        <w:rPr>
          <w:rFonts w:ascii="Arial" w:hAnsi="Arial" w:cs="Arial"/>
          <w:sz w:val="24"/>
          <w:szCs w:val="24"/>
        </w:rPr>
      </w:pPr>
      <w:r>
        <w:rPr>
          <w:rFonts w:cs="Arial" w:ascii="Arial" w:hAnsi="Arial"/>
          <w:sz w:val="24"/>
          <w:szCs w:val="24"/>
        </w:rPr>
        <w:t>Los resultados se contradicen con los obtenidos por Bertone Di Muro y Sandoval,</w:t>
      </w:r>
      <w:r>
        <w:rPr>
          <w:rFonts w:cs="Arial" w:ascii="Arial" w:hAnsi="Arial"/>
          <w:sz w:val="24"/>
          <w:szCs w:val="24"/>
          <w:vertAlign w:val="superscript"/>
        </w:rPr>
        <w:t>17</w:t>
      </w:r>
      <w:r>
        <w:rPr>
          <w:rFonts w:cs="Arial" w:ascii="Arial" w:hAnsi="Arial"/>
          <w:sz w:val="24"/>
          <w:szCs w:val="24"/>
        </w:rPr>
        <w:t xml:space="preserve"> autores que concluyeron que los estudiantes de nuevo ingreso participantes en su estudio, presentaron un perfil metacognitivo entre moderado y alto, apreciándose una adecuada habilidad metacognitiva para manejar y controlar el conocimiento que poseen. Se discrepa además con Otondo Briceño y Torres Lara,</w:t>
      </w:r>
      <w:r>
        <w:rPr>
          <w:rFonts w:cs="Arial" w:ascii="Arial" w:hAnsi="Arial"/>
          <w:sz w:val="24"/>
          <w:szCs w:val="24"/>
          <w:vertAlign w:val="superscript"/>
        </w:rPr>
        <w:t xml:space="preserve"> 18 </w:t>
      </w:r>
      <w:r>
        <w:rPr>
          <w:rFonts w:cs="Arial" w:ascii="Arial" w:hAnsi="Arial"/>
          <w:sz w:val="24"/>
          <w:szCs w:val="24"/>
        </w:rPr>
        <w:t>que en su estudio obtuvieron un alto porcentaje en la habilidad metacognitiva de organización en el alumnado.</w:t>
      </w:r>
    </w:p>
    <w:p>
      <w:pPr>
        <w:pStyle w:val="Normal"/>
        <w:spacing w:lineRule="auto" w:line="360" w:before="0" w:after="0"/>
        <w:mirrorIndents/>
        <w:jc w:val="both"/>
        <w:rPr>
          <w:rFonts w:ascii="Arial" w:hAnsi="Arial" w:cs="Arial"/>
          <w:sz w:val="24"/>
          <w:szCs w:val="24"/>
        </w:rPr>
      </w:pPr>
      <w:r>
        <w:rPr>
          <w:rFonts w:cs="Arial" w:ascii="Arial" w:hAnsi="Arial"/>
          <w:sz w:val="24"/>
          <w:szCs w:val="24"/>
        </w:rPr>
        <w:t xml:space="preserve">Las autoras consideran que en el estudiante no predominan las estrategias metacognitivas debido a que implican un nivel superior de incorporación de nuevos saberes, ya que tienen que ver con la reflexión del pensamiento sobre sí mismo y que es necesario enseñarlas para lograr cambios en el modo de aprender, empezando por capacitar a los profesores en el empleo de estrategias metacognitivas que propicien el aprendizaje significativo. </w:t>
      </w:r>
    </w:p>
    <w:p>
      <w:pPr>
        <w:pStyle w:val="Normal"/>
        <w:spacing w:lineRule="auto" w:line="360" w:before="0" w:after="0"/>
        <w:mirrorIndents/>
        <w:jc w:val="both"/>
        <w:rPr>
          <w:rFonts w:ascii="Arial" w:hAnsi="Arial" w:cs="Arial"/>
          <w:sz w:val="24"/>
          <w:szCs w:val="24"/>
        </w:rPr>
      </w:pPr>
      <w:r>
        <w:rPr>
          <w:rFonts w:cs="Arial" w:ascii="Arial" w:hAnsi="Arial"/>
          <w:sz w:val="24"/>
          <w:szCs w:val="24"/>
        </w:rPr>
        <w:t>Se aprecia que a pesar de que los estudiantes presentan interés por aprender al considerar útiles los contenidos, no son capaces de ser coherentes entre el querer y el hacer. Esto se evidencia en el pobre uso de estrategias como son relacionar los principales conceptos de la materia y realizar esquemas durante el estudio.</w:t>
      </w:r>
    </w:p>
    <w:p>
      <w:pPr>
        <w:pStyle w:val="Normal"/>
        <w:spacing w:lineRule="auto" w:line="360" w:before="0" w:after="0"/>
        <w:mirrorIndents/>
        <w:jc w:val="both"/>
        <w:rPr>
          <w:rFonts w:ascii="Arial" w:hAnsi="Arial" w:cs="Arial"/>
          <w:sz w:val="24"/>
          <w:szCs w:val="24"/>
        </w:rPr>
      </w:pPr>
      <w:r>
        <w:rPr>
          <w:rFonts w:cs="Arial" w:ascii="Arial" w:hAnsi="Arial"/>
          <w:sz w:val="24"/>
          <w:szCs w:val="24"/>
        </w:rPr>
        <w:t>Se coincide con Schell Celia,</w:t>
      </w:r>
      <w:r>
        <w:rPr>
          <w:rFonts w:cs="Arial" w:ascii="Arial" w:hAnsi="Arial"/>
          <w:sz w:val="24"/>
          <w:szCs w:val="24"/>
          <w:vertAlign w:val="superscript"/>
        </w:rPr>
        <w:t>11</w:t>
      </w:r>
      <w:r>
        <w:rPr>
          <w:rFonts w:cs="Arial" w:ascii="Arial" w:hAnsi="Arial"/>
          <w:sz w:val="24"/>
          <w:szCs w:val="24"/>
        </w:rPr>
        <w:t xml:space="preserve"> que en su estudio encontró que entre las características que poseían los estudiantes se encontraba la escasa utilización de los mapas conceptuales, de relación entre conceptos y la falta de autonomía cognitiva. Se discrepa con Manso López y Garrido Tapia, los cuales a partir de un proyecto en las asignaturas que imparten, lograron insertar a estudiantes de tercer y quinto año de la carrera de medicina en el uso de mapas conceptuales logrando una actitud favorable hacia su utilización. No obstante, las autoras opinan que la utilización óptima de esquemas como mapas conceptuales en la enseñanza aprendizaje de anatomía de Sistema nervioso, permitiría desarrollar la metacognición en los estudiantes de primer año de medicina. Planificar e implementar estrategias metodológicas que tengan en cuenta lo anterior es fundamental para ofrecer un tratamiento integral a las deficiencias encontradas en el aprendizaje de los estudiantes.</w:t>
      </w:r>
    </w:p>
    <w:p>
      <w:pPr>
        <w:pStyle w:val="Normal"/>
        <w:spacing w:lineRule="auto" w:line="360" w:before="0" w:after="0"/>
        <w:mirrorIndents/>
        <w:jc w:val="both"/>
        <w:rPr>
          <w:rFonts w:ascii="Arial" w:hAnsi="Arial" w:cs="Arial"/>
          <w:sz w:val="24"/>
          <w:szCs w:val="24"/>
        </w:rPr>
      </w:pPr>
      <w:r>
        <w:rPr>
          <w:rFonts w:cs="Arial" w:ascii="Arial" w:hAnsi="Arial"/>
          <w:b/>
          <w:sz w:val="24"/>
          <w:szCs w:val="24"/>
        </w:rPr>
        <w:t>CONCLUSIONES</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En los estudiantes de primer año de medicina predomina el aprendizaje significativo sobre el no significativo, aunque con escasa ventaja y a expensas de estrategias cognitivas. Las habilidades metacognitivas se encuentran pobremente desarrolladas; por lo que resulta imprescindible el diseño e implementación de estrategias para la mejora del proceso de aprendizaje.</w:t>
      </w:r>
    </w:p>
    <w:p>
      <w:pPr>
        <w:pStyle w:val="Normal"/>
        <w:spacing w:lineRule="auto" w:line="360" w:before="0" w:after="0"/>
        <w:contextualSpacing/>
        <w:mirrorIndents/>
        <w:jc w:val="both"/>
        <w:rPr>
          <w:rFonts w:ascii="Arial" w:hAnsi="Arial" w:cs="Arial"/>
          <w:b/>
          <w:b/>
          <w:sz w:val="24"/>
          <w:szCs w:val="24"/>
          <w:lang w:val="pt-BR"/>
        </w:rPr>
      </w:pPr>
      <w:r>
        <w:rPr>
          <w:rFonts w:cs="Arial" w:ascii="Arial" w:hAnsi="Arial"/>
          <w:b/>
          <w:sz w:val="24"/>
          <w:szCs w:val="24"/>
          <w:lang w:val="pt-BR"/>
        </w:rPr>
        <w:t>REFERENCIAS BIBLIOGRÁFICAS</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lang w:val="pt-BR"/>
        </w:rPr>
        <w:t xml:space="preserve">1. Álvarez Escobar MC. </w:t>
      </w:r>
      <w:r>
        <w:rPr>
          <w:rFonts w:cs="Arial" w:ascii="Arial" w:hAnsi="Arial"/>
          <w:sz w:val="24"/>
          <w:szCs w:val="24"/>
        </w:rPr>
        <w:t xml:space="preserve">Papel de la universidad médica cubana en la implementación de la Agenda 2030. Rev.Med.Electrón. [Internet]. 2021 [citado 6  Mar 2022]; 43 (2): [Aprox 2 p.]. Disponible en: </w:t>
      </w:r>
      <w:hyperlink r:id="rId3">
        <w:r>
          <w:rPr>
            <w:rStyle w:val="EnlacedeInternet"/>
            <w:rFonts w:cs="Arial" w:ascii="Arial" w:hAnsi="Arial"/>
            <w:sz w:val="24"/>
            <w:szCs w:val="24"/>
          </w:rPr>
          <w:t>http://scielo.sld.cu/scielo.php?script=sci_arttext&amp;pid=S1684-18242021000203300</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2. Mendoza Ceballos A. Generación Millennial: Atendiendo a las caracteristicas generacionales en la ensenanza-aprendizaje de las Ciencias Médicas desde la neutrosofia. NCML [Internet]. 2019 [citado 18 Jul 2022]; 7(3): [Aprox 10 p.].  Disponible en: </w:t>
      </w:r>
      <w:hyperlink r:id="rId4">
        <w:r>
          <w:rPr>
            <w:rStyle w:val="EnlacedeInternet"/>
            <w:rFonts w:cs="Arial" w:ascii="Arial" w:hAnsi="Arial"/>
            <w:sz w:val="24"/>
            <w:szCs w:val="24"/>
          </w:rPr>
          <w:t>http://fs.unm.edu/NCML2/index.php/112/article/view/48</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3. Durán-Pérez VD, Gutiérrez Barreto SE. El aprendizaje activo y el desarrollo de habilidades cognitivas en la formación de los profesionales de la salud. FEM [Internet]. 2022  [citado 10 Ene 2023]; 24(6): 283-290. Disponible en: </w:t>
      </w:r>
      <w:hyperlink r:id="rId5">
        <w:r>
          <w:rPr>
            <w:rStyle w:val="EnlacedeInternet"/>
            <w:rFonts w:cs="Arial" w:ascii="Arial" w:hAnsi="Arial"/>
            <w:sz w:val="24"/>
            <w:szCs w:val="24"/>
          </w:rPr>
          <w:t>https://dx.doi.org/10.33588/fem.246.1153</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4. Salazar Béjar JE, Cáceres Mesa ML. Estrategias metacognitivas para el logro de   aprendizajes significativos. Conrado [Internet]. 2022 [citado 6 Mar 2022]; 18 (84): 6-16. Disponible en: </w:t>
      </w:r>
      <w:hyperlink r:id="rId6">
        <w:r>
          <w:rPr>
            <w:rStyle w:val="EnlacedeInternet"/>
            <w:rFonts w:cs="Arial" w:ascii="Arial" w:hAnsi="Arial"/>
            <w:sz w:val="24"/>
            <w:szCs w:val="24"/>
          </w:rPr>
          <w:t>https://conrado.ucf.edu.cu/index.php/conrado/article/view/2203</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5. Yurell Concepción IC, Guerra Borrego Y, Conde Pérez MM. Diagnóstico pedagógico en el proceso docente educativo: Pensamiento pedagógico de avanzada. Atlante[Internet]. 2018 [citado 26 Feb 2023]; ISSN: 1989-4155. Disponible en: </w:t>
      </w:r>
      <w:hyperlink r:id="rId7">
        <w:r>
          <w:rPr>
            <w:rStyle w:val="EnlacedeInternet"/>
            <w:rFonts w:cs="Arial" w:ascii="Arial" w:hAnsi="Arial"/>
            <w:sz w:val="24"/>
            <w:szCs w:val="24"/>
          </w:rPr>
          <w:t>http://www.eumed.net/rev/atlante/2018/10/diagnostico-pedagogico.html</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6. Gargallo B, Suárez Rodríguez JM, Pérez Pérez C. El cuestionario CEVEAPEU. Un instrumento para la evaluación de las estrategias de aprendizaje de los estudiantes universitarios. RELIEVE [Internet]. 2009 [citado 10 Nov 2021]; 15 (2): 1-31. Disponible en: </w:t>
      </w:r>
      <w:hyperlink r:id="rId8">
        <w:r>
          <w:rPr>
            <w:rStyle w:val="EnlacedeInternet"/>
            <w:rFonts w:cs="Arial" w:ascii="Arial" w:hAnsi="Arial"/>
            <w:sz w:val="24"/>
            <w:szCs w:val="24"/>
          </w:rPr>
          <w:t>https://doi.org/10.7203/relieve.15.2.4156</w:t>
        </w:r>
      </w:hyperlink>
    </w:p>
    <w:p>
      <w:pPr>
        <w:pStyle w:val="Normal"/>
        <w:spacing w:lineRule="auto" w:line="360" w:before="0" w:after="0"/>
        <w:contextualSpacing/>
        <w:mirrorIndents/>
        <w:jc w:val="both"/>
        <w:rPr>
          <w:rFonts w:ascii="Arial" w:hAnsi="Arial" w:cs="Arial"/>
          <w:sz w:val="24"/>
          <w:szCs w:val="24"/>
        </w:rPr>
      </w:pPr>
      <w:r>
        <w:rPr>
          <w:rFonts w:eastAsia="Times New Roman" w:cs="Arial" w:ascii="Arial" w:hAnsi="Arial"/>
          <w:sz w:val="24"/>
          <w:szCs w:val="24"/>
          <w:lang w:eastAsia="es-ES"/>
        </w:rPr>
        <w:t xml:space="preserve">7. </w:t>
      </w:r>
      <w:r>
        <w:rPr>
          <w:rFonts w:cs="Arial" w:ascii="Arial" w:hAnsi="Arial"/>
          <w:sz w:val="24"/>
          <w:szCs w:val="24"/>
        </w:rPr>
        <w:t xml:space="preserve">Palacios AM, Schinella GR. Diseño y validación de un instrumento para evaluar la metacognición sobre el estudio en estudiantes de Medicina. Rev Educ Univ Granada [Internet]. 2017 [citado 14 Ene 2022]; 24: 9-28. Disponible en: </w:t>
      </w:r>
      <w:hyperlink r:id="rId9">
        <w:r>
          <w:rPr>
            <w:rStyle w:val="EnlacedeInternet"/>
            <w:rFonts w:cs="Arial" w:ascii="Arial" w:hAnsi="Arial"/>
            <w:sz w:val="24"/>
            <w:szCs w:val="24"/>
          </w:rPr>
          <w:t>http://sedici.unlp.edu.ar/handle/10915/104915</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lang w:val="pt-BR"/>
        </w:rPr>
        <w:t xml:space="preserve">8. Angulo Zaragoza A, Díaz Rojas PA. </w:t>
      </w:r>
      <w:r>
        <w:rPr>
          <w:rFonts w:cs="Arial" w:ascii="Arial" w:hAnsi="Arial"/>
          <w:sz w:val="24"/>
          <w:szCs w:val="24"/>
        </w:rPr>
        <w:t xml:space="preserve">Los estilos de aprendizaje en estudiantes de Medicina. Edumecentro [Internet]. 2019 [citado 20 Feb 2022]; 11(3): 61-76. Disponible en: </w:t>
      </w:r>
      <w:hyperlink r:id="rId10">
        <w:r>
          <w:rPr>
            <w:rStyle w:val="EnlacedeInternet"/>
            <w:rFonts w:cs="Arial" w:ascii="Arial" w:hAnsi="Arial"/>
            <w:sz w:val="24"/>
            <w:szCs w:val="24"/>
          </w:rPr>
          <w:t>http://www.revedumecentro.sld.cu</w:t>
        </w:r>
      </w:hyperlink>
      <w:r>
        <w:rPr>
          <w:rFonts w:cs="Arial" w:ascii="Arial" w:hAnsi="Arial"/>
          <w:sz w:val="24"/>
          <w:szCs w:val="24"/>
        </w:rPr>
        <w:t>.</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9. Dionisio de Cabalier ME, Chalub DM. El aprendizaje significativo de las ciencias morfológicas en medicina: experiencia y aportes para su enseñanza en clínica dermatológica. Int. J. Morphol [Internet]. 2009 [citado 16 Mar 2022]; 27(2): 565–569. Disponible en: </w:t>
      </w:r>
      <w:hyperlink r:id="rId11">
        <w:r>
          <w:rPr>
            <w:rStyle w:val="EnlacedeInternet"/>
            <w:rFonts w:cs="Arial" w:ascii="Arial" w:hAnsi="Arial"/>
            <w:sz w:val="24"/>
            <w:szCs w:val="24"/>
          </w:rPr>
          <w:t>http://www.scielo.cl/scielo.php?script=sci_arttext&amp;pid=S0717-95022009000200041&amp;Ing=es</w:t>
        </w:r>
      </w:hyperlink>
      <w:r>
        <w:rPr>
          <w:rFonts w:cs="Arial" w:ascii="Arial" w:hAnsi="Arial"/>
          <w:sz w:val="24"/>
          <w:szCs w:val="24"/>
        </w:rPr>
        <w:t>.</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10. Julca Lázaro MO. Estilo de enseñanza democrático para desarrollar el aprendizaje significativo de los estudiantes del V ciclo de la escuela profesional de enfermería de la facultad de Ciencias Médicas - UNASAM. [Internet]. Huaraz: Universidad Nacional Pedro Ruiz Gallo; 2018 [citado 20 Ene 2022]. Disponible en: </w:t>
      </w:r>
      <w:hyperlink r:id="rId12">
        <w:r>
          <w:rPr>
            <w:rStyle w:val="EnlacedeInternet"/>
            <w:rFonts w:cs="Arial" w:ascii="Arial" w:hAnsi="Arial"/>
            <w:sz w:val="24"/>
            <w:szCs w:val="24"/>
          </w:rPr>
          <w:t>https://hdl.handle.net/20.500.12893/6495</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11. Schell CM. Estrategias de aprendizaje en alumnos de medicina de la universidad nacional de la plata. [Internet]. La Plata: Facultad de Ciencias Médicas; 2013 [citado 2 de Feb 2022]. Disponible en: </w:t>
      </w:r>
      <w:hyperlink r:id="rId13">
        <w:r>
          <w:rPr>
            <w:rStyle w:val="EnlacedeInternet"/>
            <w:rFonts w:cs="Arial" w:ascii="Arial" w:hAnsi="Arial"/>
            <w:sz w:val="24"/>
            <w:szCs w:val="24"/>
          </w:rPr>
          <w:t>http://sedici.unlp.edu.ar/handle/10915/36936</w:t>
        </w:r>
      </w:hyperlink>
    </w:p>
    <w:p>
      <w:pPr>
        <w:pStyle w:val="Normal"/>
        <w:spacing w:lineRule="auto" w:line="360" w:before="0" w:after="0"/>
        <w:contextualSpacing/>
        <w:mirrorIndents/>
        <w:jc w:val="both"/>
        <w:rPr>
          <w:rFonts w:ascii="Arial" w:hAnsi="Arial" w:cs="Arial"/>
          <w:sz w:val="24"/>
          <w:szCs w:val="24"/>
          <w:vertAlign w:val="superscript"/>
        </w:rPr>
      </w:pPr>
      <w:r>
        <w:rPr>
          <w:rFonts w:cs="Arial" w:ascii="Arial" w:hAnsi="Arial"/>
          <w:sz w:val="24"/>
          <w:szCs w:val="24"/>
        </w:rPr>
        <w:t xml:space="preserve">12. Chirinos NM. El mapa conceptual como estrategia metacognitiva para la comprensión lectora en las producciones científicas. Congreso internacional: Lectura y escritura en la Sociedad Global [Internet]. 2013 [citado 5 Ene 2022]. Disponible en: </w:t>
      </w:r>
      <w:hyperlink r:id="rId14">
        <w:r>
          <w:rPr>
            <w:rStyle w:val="EnlacedeInternet"/>
            <w:rFonts w:cs="Arial" w:ascii="Arial" w:hAnsi="Arial"/>
            <w:sz w:val="24"/>
            <w:szCs w:val="24"/>
          </w:rPr>
          <w:t>http://eventos.uninorte.edu.co/index.php/congresolecturayescriturabarranq/lectura2013/paper/view/415</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13. Toledano RM, Gómez Barreto I, Tirado-Olivares S, Vázquez A. Mapas conceptuales y metacognición en la formación inicial de maestros. Redes de Investigación e Innovación en Docencia Universitaria [Internet]. 2021 [citado 22 Feb 2022]; 403-414. Disponible en: </w:t>
      </w:r>
      <w:hyperlink r:id="rId15">
        <w:r>
          <w:rPr>
            <w:rStyle w:val="EnlacedeInternet"/>
            <w:rFonts w:cs="Arial" w:ascii="Arial" w:hAnsi="Arial"/>
            <w:sz w:val="24"/>
            <w:szCs w:val="24"/>
          </w:rPr>
          <w:t>http://hdl.handle.net/10045/119516</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14. Veerstag M et al. </w:t>
      </w:r>
      <w:r>
        <w:rPr>
          <w:rFonts w:cs="Arial" w:ascii="Arial" w:hAnsi="Arial"/>
          <w:sz w:val="24"/>
          <w:szCs w:val="24"/>
          <w:lang w:val="en-US"/>
        </w:rPr>
        <w:t xml:space="preserve">What Were You Thinking? Medical Students’ Metacognition and Perceptions of Self-Regulated Learning. </w:t>
      </w:r>
      <w:r>
        <w:rPr>
          <w:rFonts w:cs="Arial" w:ascii="Arial" w:hAnsi="Arial"/>
          <w:sz w:val="24"/>
          <w:szCs w:val="24"/>
        </w:rPr>
        <w:t xml:space="preserve">Teach Learn Med [Internet]. 2021 [citado 14 Ene 2022]; 33(5): 473-82. Disponible en: </w:t>
      </w:r>
      <w:hyperlink r:id="rId16">
        <w:r>
          <w:rPr>
            <w:rStyle w:val="EnlacedeInternet"/>
            <w:rFonts w:cs="Arial" w:ascii="Arial" w:hAnsi="Arial"/>
            <w:sz w:val="24"/>
            <w:szCs w:val="24"/>
          </w:rPr>
          <w:t>https://doi.org/10.1080/10401334.2021.1889559</w:t>
        </w:r>
      </w:hyperlink>
      <w:r>
        <w:rPr>
          <w:rFonts w:cs="Arial" w:ascii="Arial" w:hAnsi="Arial"/>
          <w:sz w:val="24"/>
          <w:szCs w:val="24"/>
        </w:rPr>
        <w:t>.</w:t>
      </w:r>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15. Álvarez - Cruces DJ, Otondo - Briceño M. Transferencia de tipos de aprendizaje en estudiantes de Odontología de la Universidad de Concepción en Chile. Educ Med Super [Internet]. 2018 [citado 26 Ene 2020]; 32(4): 143-183. Disponible en: </w:t>
      </w:r>
      <w:hyperlink r:id="rId17">
        <w:r>
          <w:rPr>
            <w:rStyle w:val="EnlacedeInternet"/>
            <w:rFonts w:cs="Arial" w:ascii="Arial" w:hAnsi="Arial"/>
            <w:sz w:val="24"/>
            <w:szCs w:val="24"/>
          </w:rPr>
          <w:t>https://scielo.sld.cu/scielo.php?script=sci_arttext&amp;pid=S0864-21412018000400014&amp;Ing=es</w:t>
        </w:r>
      </w:hyperlink>
    </w:p>
    <w:p>
      <w:pPr>
        <w:pStyle w:val="Normal"/>
        <w:spacing w:lineRule="auto" w:line="360" w:before="0" w:after="0"/>
        <w:contextualSpacing/>
        <w:jc w:val="both"/>
        <w:rPr>
          <w:rFonts w:ascii="Arial" w:hAnsi="Arial" w:cs="Arial"/>
          <w:sz w:val="24"/>
          <w:szCs w:val="24"/>
        </w:rPr>
      </w:pPr>
      <w:r>
        <w:rPr>
          <w:rFonts w:cs="Arial" w:ascii="Arial" w:hAnsi="Arial"/>
          <w:sz w:val="24"/>
          <w:szCs w:val="24"/>
        </w:rPr>
        <w:t xml:space="preserve">16. Cantillo Anaya K, De la Hoz Molina Á, Cerchiaro Ceballos E. Actividad metacognitiva en estudiantes universitarios un estudio preliminar. Psicol. Caribe [Internet].2014  [citado 10 Nov 2021]; 31(3): 455-474. Disponible en: </w:t>
      </w:r>
      <w:hyperlink r:id="rId18">
        <w:r>
          <w:rPr>
            <w:rStyle w:val="EnlacedeInternet"/>
            <w:rFonts w:cs="Arial" w:ascii="Arial" w:hAnsi="Arial"/>
            <w:sz w:val="24"/>
            <w:szCs w:val="24"/>
          </w:rPr>
          <w:t>http://dx.doi.org/10.14482/psdc.31.3.5399</w:t>
        </w:r>
      </w:hyperlink>
    </w:p>
    <w:p>
      <w:pPr>
        <w:pStyle w:val="Normal"/>
        <w:spacing w:lineRule="auto" w:line="360" w:before="0" w:after="0"/>
        <w:contextualSpacing/>
        <w:mirrorIndents/>
        <w:jc w:val="both"/>
        <w:rPr>
          <w:rFonts w:ascii="Arial" w:hAnsi="Arial" w:cs="Arial"/>
          <w:sz w:val="24"/>
          <w:szCs w:val="24"/>
        </w:rPr>
      </w:pPr>
      <w:r>
        <w:rPr>
          <w:rFonts w:cs="Arial" w:ascii="Arial" w:hAnsi="Arial"/>
          <w:sz w:val="24"/>
          <w:szCs w:val="24"/>
        </w:rPr>
        <w:t xml:space="preserve">17. Bortone Di Muro R, Sandoval A. Perfil metacognitivo en estudiantes universitarios. Investigación y Posgrado [Internet]. 2014 [citado 6 Abr 2022]; 29(1): 95-107.   Disponible en: </w:t>
      </w:r>
      <w:hyperlink r:id="rId19">
        <w:r>
          <w:rPr>
            <w:rStyle w:val="EnlacedeInternet"/>
            <w:rFonts w:cs="Arial" w:ascii="Arial" w:hAnsi="Arial"/>
            <w:sz w:val="24"/>
            <w:szCs w:val="24"/>
          </w:rPr>
          <w:t>http://ve.scielo.org/scielo.php?script=sci_arttext&amp;pid=S1316-00872014000100006&amp;Ing=es&amp;tlng=es</w:t>
        </w:r>
      </w:hyperlink>
    </w:p>
    <w:p>
      <w:pPr>
        <w:pStyle w:val="Normal"/>
        <w:tabs>
          <w:tab w:val="clear" w:pos="708"/>
          <w:tab w:val="left" w:pos="731" w:leader="none"/>
        </w:tabs>
        <w:spacing w:lineRule="auto" w:line="360" w:before="0" w:after="0"/>
        <w:contextualSpacing/>
        <w:mirrorIndents/>
        <w:jc w:val="both"/>
        <w:rPr>
          <w:rFonts w:ascii="Arial" w:hAnsi="Arial" w:cs="Arial"/>
          <w:sz w:val="24"/>
          <w:szCs w:val="24"/>
        </w:rPr>
      </w:pPr>
      <w:r>
        <w:rPr>
          <w:rFonts w:cs="Arial" w:ascii="Arial" w:hAnsi="Arial"/>
          <w:sz w:val="24"/>
          <w:szCs w:val="24"/>
        </w:rPr>
        <w:t xml:space="preserve">18. Otondo - Briceño M, Torres Lara MP. Habilidades metacognitivas de organización en educación superior. Rev. Cubana Edu. Superior [Internet]. 2020 [citado 10 Nov 2021]; 39 (2): e14. Disponible en: </w:t>
      </w:r>
      <w:hyperlink r:id="rId20">
        <w:r>
          <w:rPr>
            <w:rStyle w:val="EnlacedeInternet"/>
            <w:rFonts w:cs="Arial" w:ascii="Arial" w:hAnsi="Arial"/>
            <w:sz w:val="24"/>
            <w:szCs w:val="24"/>
          </w:rPr>
          <w:t>http://scielo.sld.cu/scielo.php?script=sci_arttext&amp;pid=S0257-43142020000200014&amp;Ing=es&amp;tIng=es</w:t>
        </w:r>
      </w:hyperlink>
      <w:r>
        <w:rPr>
          <w:rFonts w:cs="Arial" w:ascii="Arial" w:hAnsi="Arial"/>
          <w:sz w:val="24"/>
          <w:szCs w:val="24"/>
        </w:rPr>
        <w:t>.</w:t>
      </w:r>
    </w:p>
    <w:sectPr>
      <w:type w:val="nextPage"/>
      <w:pgSz w:w="12240" w:h="15840"/>
      <w:pgMar w:left="1134" w:right="1134"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a29b9"/>
    <w:pPr>
      <w:widowControl/>
      <w:suppressAutoHyphens w:val="true"/>
      <w:bidi w:val="0"/>
      <w:spacing w:lineRule="auto" w:line="276" w:before="0" w:after="200"/>
      <w:jc w:val="left"/>
    </w:pPr>
    <w:rPr>
      <w:rFonts w:ascii="Verdana" w:hAnsi="Verdana" w:eastAsia="Calibri" w:cs="" w:cstheme="minorBidi" w:eastAsiaTheme="minorHAnsi"/>
      <w:color w:val="auto"/>
      <w:kern w:val="0"/>
      <w:sz w:val="20"/>
      <w:szCs w:val="22"/>
      <w:lang w:val="es-ES" w:eastAsia="en-US" w:bidi="ar-SA"/>
    </w:rPr>
  </w:style>
  <w:style w:type="character" w:styleId="DefaultParagraphFont" w:default="1">
    <w:name w:val="Default Paragraph Font"/>
    <w:uiPriority w:val="1"/>
    <w:semiHidden/>
    <w:unhideWhenUsed/>
    <w:qFormat/>
    <w:rPr/>
  </w:style>
  <w:style w:type="character" w:styleId="Destacado" w:customStyle="1">
    <w:name w:val="Destacado"/>
    <w:qFormat/>
    <w:rsid w:val="00227011"/>
    <w:rPr>
      <w:i/>
      <w:iCs/>
    </w:rPr>
  </w:style>
  <w:style w:type="character" w:styleId="EnlacedeInternet">
    <w:name w:val="Enlace de Internet"/>
    <w:basedOn w:val="DefaultParagraphFont"/>
    <w:unhideWhenUsed/>
    <w:rsid w:val="005b593c"/>
    <w:rPr>
      <w:color w:val="0000FF" w:themeColor="hyperlink"/>
      <w:u w:val="single"/>
    </w:rPr>
  </w:style>
  <w:style w:type="character" w:styleId="Vietas" w:customStyle="1">
    <w:name w:val="Viñetas"/>
    <w:qFormat/>
    <w:rsid w:val="0012640c"/>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rsid w:val="0012640c"/>
    <w:pPr>
      <w:spacing w:before="0" w:after="140"/>
    </w:pPr>
    <w:rPr/>
  </w:style>
  <w:style w:type="paragraph" w:styleId="Lista">
    <w:name w:val="List"/>
    <w:basedOn w:val="Cuerpodetexto"/>
    <w:rsid w:val="0012640c"/>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rsid w:val="0012640c"/>
    <w:pPr>
      <w:suppressLineNumbers/>
    </w:pPr>
    <w:rPr>
      <w:rFonts w:cs="FreeSans"/>
    </w:rPr>
  </w:style>
  <w:style w:type="paragraph" w:styleId="Ttulogeneral">
    <w:name w:val="Title"/>
    <w:basedOn w:val="Normal"/>
    <w:next w:val="Cuerpodetexto"/>
    <w:qFormat/>
    <w:rsid w:val="0012640c"/>
    <w:pPr>
      <w:keepNext w:val="true"/>
      <w:spacing w:before="240" w:after="120"/>
    </w:pPr>
    <w:rPr>
      <w:rFonts w:ascii="Liberation Sans" w:hAnsi="Liberation Sans" w:eastAsia="Noto Sans CJK SC" w:cs="FreeSans"/>
      <w:sz w:val="28"/>
      <w:szCs w:val="28"/>
    </w:rPr>
  </w:style>
  <w:style w:type="paragraph" w:styleId="Descripcin1" w:customStyle="1">
    <w:name w:val="Descripción1"/>
    <w:basedOn w:val="Normal"/>
    <w:qFormat/>
    <w:rsid w:val="0012640c"/>
    <w:pPr>
      <w:suppressLineNumbers/>
      <w:spacing w:before="120" w:after="120"/>
    </w:pPr>
    <w:rPr>
      <w:rFonts w:cs="FreeSans"/>
      <w:i/>
      <w:iCs/>
      <w:sz w:val="24"/>
      <w:szCs w:val="24"/>
    </w:rPr>
  </w:style>
  <w:style w:type="paragraph" w:styleId="ListParagraph">
    <w:name w:val="List Paragraph"/>
    <w:basedOn w:val="Normal"/>
    <w:uiPriority w:val="34"/>
    <w:qFormat/>
    <w:rsid w:val="00537961"/>
    <w:pPr>
      <w:suppressAutoHyphens w:val="false"/>
      <w:spacing w:before="0" w:after="200"/>
      <w:ind w:left="720" w:hanging="0"/>
      <w:contextualSpacing/>
    </w:pPr>
    <w:rPr>
      <w:rFonts w:ascii="Calibri" w:hAnsi="Calibri" w:asciiTheme="minorHAnsi" w:hAnsiTheme="minorHAnsi"/>
      <w:sz w:val="22"/>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53a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inelis@infomed.sld.cu" TargetMode="External"/><Relationship Id="rId3" Type="http://schemas.openxmlformats.org/officeDocument/2006/relationships/hyperlink" Target="http://scielo.sld.cu/scielo.php?script=sci_arttext&amp;pid=S1684-18242021000203300" TargetMode="External"/><Relationship Id="rId4" Type="http://schemas.openxmlformats.org/officeDocument/2006/relationships/hyperlink" Target="http://fs.unm.edu/NCML2/index.php/112/article/view/48" TargetMode="External"/><Relationship Id="rId5" Type="http://schemas.openxmlformats.org/officeDocument/2006/relationships/hyperlink" Target="https://dx.doi.org/10.33588/fem.246.1153" TargetMode="External"/><Relationship Id="rId6" Type="http://schemas.openxmlformats.org/officeDocument/2006/relationships/hyperlink" Target="https://conrado.ucf.edu.cu/index.php/conrado/article/view/2203" TargetMode="External"/><Relationship Id="rId7" Type="http://schemas.openxmlformats.org/officeDocument/2006/relationships/hyperlink" Target="http://www.eumed.net/rev/atlante/2018/10/diagnostico-pedagogico.html" TargetMode="External"/><Relationship Id="rId8" Type="http://schemas.openxmlformats.org/officeDocument/2006/relationships/hyperlink" Target="https://doi.org/10.7203/relieve.15.2.4156" TargetMode="External"/><Relationship Id="rId9" Type="http://schemas.openxmlformats.org/officeDocument/2006/relationships/hyperlink" Target="http://sedici.unlp.edu.ar/handle/10915/104915" TargetMode="External"/><Relationship Id="rId10" Type="http://schemas.openxmlformats.org/officeDocument/2006/relationships/hyperlink" Target="http://www.revedumecentro.sld.cu/" TargetMode="External"/><Relationship Id="rId11" Type="http://schemas.openxmlformats.org/officeDocument/2006/relationships/hyperlink" Target="http://www.scielo.cl/scielo.php?script=sci_arttext&amp;pid=S0717-95022009000200041&amp;Ing=es" TargetMode="External"/><Relationship Id="rId12" Type="http://schemas.openxmlformats.org/officeDocument/2006/relationships/hyperlink" Target="https://hdl.handle.net/20.500.12893/6495" TargetMode="External"/><Relationship Id="rId13" Type="http://schemas.openxmlformats.org/officeDocument/2006/relationships/hyperlink" Target="http://sedici.unlp.edu.ar/handle/10915/36936" TargetMode="External"/><Relationship Id="rId14" Type="http://schemas.openxmlformats.org/officeDocument/2006/relationships/hyperlink" Target="http://eventos.uninorte.edu.co/index.php/congresolecturayescriturabarranq/lectura2013/paper/view/415" TargetMode="External"/><Relationship Id="rId15" Type="http://schemas.openxmlformats.org/officeDocument/2006/relationships/hyperlink" Target="http://hdl.handle.net/10045/119516" TargetMode="External"/><Relationship Id="rId16" Type="http://schemas.openxmlformats.org/officeDocument/2006/relationships/hyperlink" Target="https://doi.org/10.1080/10401334.2021.1889559" TargetMode="External"/><Relationship Id="rId17" Type="http://schemas.openxmlformats.org/officeDocument/2006/relationships/hyperlink" Target="https://scielo.sld.cu/scielo.php?script=sci_arttext&amp;pid=S0864-21412018000400014&amp;Ing=es" TargetMode="External"/><Relationship Id="rId18" Type="http://schemas.openxmlformats.org/officeDocument/2006/relationships/hyperlink" Target="http://dx.doi.org/10.14482/psdc.31.3.5399" TargetMode="External"/><Relationship Id="rId19" Type="http://schemas.openxmlformats.org/officeDocument/2006/relationships/hyperlink" Target="http://ve.scielo.org/scielo.php?script=sci_arttext&amp;pid=S1316-00872014000100006&amp;Ing=es&amp;tlng=es" TargetMode="External"/><Relationship Id="rId20" Type="http://schemas.openxmlformats.org/officeDocument/2006/relationships/hyperlink" Target="http://scielo.sld.cu/scielo.php?script=sci_arttext&amp;pid=S0257-43142020000200014&amp;Ing=es&amp;tIng=es"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LibreOffice/7.0.4.2$Linux_X86_64 LibreOffice_project/00$Build-2</Application>
  <AppVersion>15.0000</AppVersion>
  <Pages>10</Pages>
  <Words>3673</Words>
  <Characters>20683</Characters>
  <CharactersWithSpaces>24169</CharactersWithSpaces>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2023-12-07T16:35:00Z</dcterms:created>
  <dc:creator>ASPIRE</dc:creator>
  <dc:description/>
  <dc:language>es-CU</dc:language>
  <cp:lastModifiedBy/>
  <dcterms:modified xsi:type="dcterms:W3CDTF">2023-12-11T14:49:17Z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