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449A" w:rsidRPr="00AF35D6" w:rsidRDefault="00B7449A" w:rsidP="00B7449A">
      <w:pPr>
        <w:jc w:val="right"/>
        <w:rPr>
          <w:rFonts w:ascii="Arial" w:hAnsi="Arial" w:cs="Arial"/>
          <w:sz w:val="20"/>
          <w:szCs w:val="20"/>
          <w:lang w:val="es-ES"/>
        </w:rPr>
      </w:pPr>
      <w:r w:rsidRPr="00AF35D6">
        <w:rPr>
          <w:rFonts w:ascii="Arial" w:hAnsi="Arial" w:cs="Arial"/>
          <w:sz w:val="20"/>
          <w:szCs w:val="20"/>
          <w:lang w:val="es-ES"/>
        </w:rPr>
        <w:t>Artículo original</w:t>
      </w:r>
    </w:p>
    <w:p w:rsidR="00CC6AD8" w:rsidRPr="004550EA" w:rsidRDefault="00BF6228" w:rsidP="00797188">
      <w:pPr>
        <w:jc w:val="both"/>
        <w:rPr>
          <w:rFonts w:ascii="Arial" w:hAnsi="Arial" w:cs="Arial"/>
          <w:b/>
          <w:sz w:val="24"/>
          <w:szCs w:val="24"/>
          <w:lang w:val="es-ES"/>
        </w:rPr>
      </w:pPr>
      <w:r w:rsidRPr="004550EA">
        <w:rPr>
          <w:rFonts w:ascii="Arial" w:hAnsi="Arial" w:cs="Arial"/>
          <w:b/>
          <w:sz w:val="24"/>
          <w:szCs w:val="24"/>
          <w:lang w:val="es-ES"/>
        </w:rPr>
        <w:t xml:space="preserve">Caracterización </w:t>
      </w:r>
      <w:r w:rsidR="00B2738A" w:rsidRPr="004550EA">
        <w:rPr>
          <w:rFonts w:ascii="Arial" w:hAnsi="Arial" w:cs="Arial"/>
          <w:b/>
          <w:sz w:val="24"/>
          <w:szCs w:val="24"/>
          <w:lang w:val="es-ES"/>
        </w:rPr>
        <w:t xml:space="preserve">de gestantes </w:t>
      </w:r>
      <w:r w:rsidR="00A865B7" w:rsidRPr="004550EA">
        <w:rPr>
          <w:rFonts w:ascii="Arial" w:hAnsi="Arial" w:cs="Arial"/>
          <w:b/>
          <w:sz w:val="24"/>
          <w:szCs w:val="24"/>
          <w:lang w:val="es-ES"/>
        </w:rPr>
        <w:t>atendidas en el S</w:t>
      </w:r>
      <w:r w:rsidR="00B2738A" w:rsidRPr="004550EA">
        <w:rPr>
          <w:rFonts w:ascii="Arial" w:hAnsi="Arial" w:cs="Arial"/>
          <w:b/>
          <w:sz w:val="24"/>
          <w:szCs w:val="24"/>
          <w:lang w:val="es-ES"/>
        </w:rPr>
        <w:t>ervicio</w:t>
      </w:r>
      <w:r w:rsidR="00A865B7" w:rsidRPr="004550EA">
        <w:rPr>
          <w:rFonts w:ascii="Arial" w:hAnsi="Arial" w:cs="Arial"/>
          <w:b/>
          <w:sz w:val="24"/>
          <w:szCs w:val="24"/>
          <w:lang w:val="es-ES"/>
        </w:rPr>
        <w:t xml:space="preserve"> de </w:t>
      </w:r>
      <w:r w:rsidR="002C27D1">
        <w:rPr>
          <w:rFonts w:ascii="Arial" w:hAnsi="Arial" w:cs="Arial"/>
          <w:b/>
          <w:sz w:val="24"/>
          <w:szCs w:val="24"/>
          <w:lang w:val="es-ES"/>
        </w:rPr>
        <w:t xml:space="preserve">Reproducción Asistida de </w:t>
      </w:r>
      <w:r w:rsidR="00A865B7" w:rsidRPr="004550EA">
        <w:rPr>
          <w:rFonts w:ascii="Arial" w:hAnsi="Arial" w:cs="Arial"/>
          <w:b/>
          <w:sz w:val="24"/>
          <w:szCs w:val="24"/>
          <w:lang w:val="es-ES"/>
        </w:rPr>
        <w:t>Baja C</w:t>
      </w:r>
      <w:r w:rsidR="002C27D1">
        <w:rPr>
          <w:rFonts w:ascii="Arial" w:hAnsi="Arial" w:cs="Arial"/>
          <w:b/>
          <w:sz w:val="24"/>
          <w:szCs w:val="24"/>
          <w:lang w:val="es-ES"/>
        </w:rPr>
        <w:t>omplejidad de Camagüey</w:t>
      </w:r>
    </w:p>
    <w:p w:rsidR="00B7449A" w:rsidRDefault="002C27D1" w:rsidP="00797188">
      <w:pPr>
        <w:jc w:val="both"/>
        <w:rPr>
          <w:rFonts w:ascii="Arial" w:hAnsi="Arial" w:cs="Arial"/>
          <w:sz w:val="24"/>
          <w:szCs w:val="24"/>
          <w:lang w:val="en-US"/>
        </w:rPr>
      </w:pPr>
      <w:r w:rsidRPr="002C27D1">
        <w:rPr>
          <w:rFonts w:ascii="Arial" w:hAnsi="Arial" w:cs="Arial"/>
          <w:sz w:val="24"/>
          <w:szCs w:val="24"/>
          <w:lang w:val="en-US"/>
        </w:rPr>
        <w:t>Characterization of pregnant women treated at the Low Complexity Assisted Reproduction Service of Camagüey</w:t>
      </w:r>
    </w:p>
    <w:p w:rsidR="002C27D1" w:rsidRPr="00B7449A" w:rsidRDefault="002C27D1" w:rsidP="00797188">
      <w:pPr>
        <w:jc w:val="both"/>
        <w:rPr>
          <w:rFonts w:ascii="Arial" w:hAnsi="Arial" w:cs="Arial"/>
          <w:sz w:val="24"/>
          <w:szCs w:val="24"/>
          <w:lang w:val="en-US"/>
        </w:rPr>
      </w:pPr>
    </w:p>
    <w:p w:rsidR="001A5B31" w:rsidRDefault="001A5B31" w:rsidP="00797188">
      <w:pPr>
        <w:jc w:val="both"/>
        <w:rPr>
          <w:rFonts w:ascii="Arial" w:hAnsi="Arial" w:cs="Arial"/>
          <w:sz w:val="24"/>
          <w:szCs w:val="24"/>
          <w:lang w:val="es-ES"/>
        </w:rPr>
      </w:pPr>
      <w:r w:rsidRPr="00180258">
        <w:rPr>
          <w:rFonts w:ascii="Arial" w:hAnsi="Arial" w:cs="Arial"/>
          <w:sz w:val="24"/>
          <w:szCs w:val="24"/>
          <w:lang w:val="es-ES"/>
        </w:rPr>
        <w:t>Or</w:t>
      </w:r>
      <w:r w:rsidR="00E00268" w:rsidRPr="00180258">
        <w:rPr>
          <w:rFonts w:ascii="Arial" w:hAnsi="Arial" w:cs="Arial"/>
          <w:sz w:val="24"/>
          <w:szCs w:val="24"/>
          <w:lang w:val="es-ES"/>
        </w:rPr>
        <w:t>isel del Carmen Rodríguez Abalo</w:t>
      </w:r>
      <w:r w:rsidR="00E00268" w:rsidRPr="00180258">
        <w:rPr>
          <w:rFonts w:ascii="Arial" w:hAnsi="Arial" w:cs="Arial"/>
          <w:sz w:val="24"/>
          <w:szCs w:val="24"/>
          <w:vertAlign w:val="superscript"/>
          <w:lang w:val="es-ES"/>
        </w:rPr>
        <w:t>1</w:t>
      </w:r>
      <w:r w:rsidR="004F0F5D">
        <w:rPr>
          <w:rFonts w:ascii="Arial" w:hAnsi="Arial" w:cs="Arial"/>
          <w:sz w:val="24"/>
          <w:szCs w:val="24"/>
          <w:vertAlign w:val="superscript"/>
          <w:lang w:val="es-ES"/>
        </w:rPr>
        <w:t xml:space="preserve"> </w:t>
      </w:r>
      <w:hyperlink r:id="rId8" w:history="1">
        <w:r w:rsidR="00B7449A" w:rsidRPr="00DE7EC6">
          <w:rPr>
            <w:rStyle w:val="Hipervnculo"/>
            <w:rFonts w:ascii="Arial" w:hAnsi="Arial" w:cs="Arial"/>
            <w:sz w:val="24"/>
            <w:szCs w:val="24"/>
            <w:lang w:val="es-ES"/>
          </w:rPr>
          <w:t>https://orcid.org/0000-0003-3242-5102</w:t>
        </w:r>
      </w:hyperlink>
    </w:p>
    <w:p w:rsidR="00B7449A" w:rsidRDefault="004241C8" w:rsidP="00797188">
      <w:pPr>
        <w:jc w:val="both"/>
        <w:rPr>
          <w:rFonts w:ascii="Arial" w:hAnsi="Arial" w:cs="Arial"/>
          <w:sz w:val="24"/>
          <w:szCs w:val="24"/>
          <w:lang w:val="es-ES"/>
        </w:rPr>
      </w:pPr>
      <w:r w:rsidRPr="00180258">
        <w:rPr>
          <w:rFonts w:ascii="Arial" w:hAnsi="Arial" w:cs="Arial"/>
          <w:sz w:val="24"/>
          <w:szCs w:val="24"/>
          <w:lang w:val="es-ES"/>
        </w:rPr>
        <w:t>Cristina Isabel Saravia Tasayco</w:t>
      </w:r>
      <w:r w:rsidR="00776F5F">
        <w:rPr>
          <w:rFonts w:ascii="Arial" w:hAnsi="Arial" w:cs="Arial"/>
          <w:color w:val="000000" w:themeColor="text1"/>
          <w:sz w:val="24"/>
          <w:szCs w:val="24"/>
          <w:vertAlign w:val="superscript"/>
          <w:lang w:val="es-ES"/>
        </w:rPr>
        <w:t>1</w:t>
      </w:r>
      <w:r w:rsidRPr="00180258">
        <w:rPr>
          <w:rFonts w:ascii="Arial" w:hAnsi="Arial" w:cs="Arial"/>
          <w:sz w:val="24"/>
          <w:szCs w:val="24"/>
          <w:vertAlign w:val="superscript"/>
          <w:lang w:val="es-ES"/>
        </w:rPr>
        <w:t xml:space="preserve"> </w:t>
      </w:r>
      <w:hyperlink r:id="rId9" w:history="1">
        <w:r w:rsidR="00B7449A" w:rsidRPr="00DE7EC6">
          <w:rPr>
            <w:rStyle w:val="Hipervnculo"/>
            <w:rFonts w:ascii="Arial" w:hAnsi="Arial" w:cs="Arial"/>
            <w:sz w:val="24"/>
            <w:szCs w:val="24"/>
            <w:lang w:val="es-ES"/>
          </w:rPr>
          <w:t>https://orcid.org/0000-0002-8059-7251</w:t>
        </w:r>
      </w:hyperlink>
    </w:p>
    <w:p w:rsidR="00691CFD" w:rsidRDefault="00691CFD" w:rsidP="00797188">
      <w:pPr>
        <w:jc w:val="both"/>
        <w:rPr>
          <w:rFonts w:ascii="Arial" w:hAnsi="Arial" w:cs="Arial"/>
          <w:sz w:val="24"/>
          <w:szCs w:val="24"/>
          <w:lang w:val="es-ES"/>
        </w:rPr>
      </w:pPr>
      <w:r w:rsidRPr="00180258">
        <w:rPr>
          <w:rFonts w:ascii="Arial" w:hAnsi="Arial" w:cs="Arial"/>
          <w:sz w:val="24"/>
          <w:szCs w:val="24"/>
          <w:lang w:val="es-ES"/>
        </w:rPr>
        <w:t>Rolando Rodr</w:t>
      </w:r>
      <w:r w:rsidR="004241C8" w:rsidRPr="00180258">
        <w:rPr>
          <w:rFonts w:ascii="Arial" w:hAnsi="Arial" w:cs="Arial"/>
          <w:sz w:val="24"/>
          <w:szCs w:val="24"/>
          <w:lang w:val="es-ES"/>
        </w:rPr>
        <w:t>íguez Puga</w:t>
      </w:r>
      <w:r w:rsidR="004241C8" w:rsidRPr="00180258">
        <w:rPr>
          <w:rFonts w:ascii="Arial" w:hAnsi="Arial" w:cs="Arial"/>
          <w:sz w:val="24"/>
          <w:szCs w:val="24"/>
          <w:vertAlign w:val="superscript"/>
          <w:lang w:val="es-ES"/>
        </w:rPr>
        <w:t>2</w:t>
      </w:r>
      <w:r w:rsidR="00AD7527">
        <w:rPr>
          <w:rFonts w:ascii="Arial" w:hAnsi="Arial" w:cs="Arial"/>
          <w:sz w:val="24"/>
          <w:szCs w:val="24"/>
          <w:vertAlign w:val="superscript"/>
          <w:lang w:val="es-ES"/>
        </w:rPr>
        <w:t>*</w:t>
      </w:r>
      <w:r w:rsidR="004241C8" w:rsidRPr="00180258">
        <w:rPr>
          <w:rFonts w:ascii="Arial" w:hAnsi="Arial" w:cs="Arial"/>
          <w:sz w:val="24"/>
          <w:szCs w:val="24"/>
          <w:vertAlign w:val="superscript"/>
          <w:lang w:val="es-ES"/>
        </w:rPr>
        <w:t xml:space="preserve"> </w:t>
      </w:r>
      <w:hyperlink r:id="rId10" w:history="1">
        <w:r w:rsidR="00B7449A" w:rsidRPr="00DE7EC6">
          <w:rPr>
            <w:rStyle w:val="Hipervnculo"/>
            <w:rFonts w:ascii="Arial" w:hAnsi="Arial" w:cs="Arial"/>
            <w:sz w:val="24"/>
            <w:szCs w:val="24"/>
            <w:lang w:val="es-ES"/>
          </w:rPr>
          <w:t>https://orcid.org/0000-0003-3350-374X</w:t>
        </w:r>
      </w:hyperlink>
    </w:p>
    <w:p w:rsidR="00691CFD" w:rsidRDefault="00691CFD" w:rsidP="00797188">
      <w:pPr>
        <w:jc w:val="both"/>
        <w:rPr>
          <w:rFonts w:ascii="Arial" w:hAnsi="Arial" w:cs="Arial"/>
          <w:sz w:val="24"/>
          <w:szCs w:val="24"/>
          <w:lang w:val="es-ES"/>
        </w:rPr>
      </w:pPr>
      <w:r w:rsidRPr="00180258">
        <w:rPr>
          <w:rFonts w:ascii="Arial" w:hAnsi="Arial" w:cs="Arial"/>
          <w:sz w:val="24"/>
          <w:szCs w:val="24"/>
          <w:lang w:val="es-ES"/>
        </w:rPr>
        <w:t>Yoánderson Pérez D</w:t>
      </w:r>
      <w:r w:rsidR="00AC39A6" w:rsidRPr="00180258">
        <w:rPr>
          <w:rFonts w:ascii="Arial" w:hAnsi="Arial" w:cs="Arial"/>
          <w:sz w:val="24"/>
          <w:szCs w:val="24"/>
          <w:lang w:val="es-ES"/>
        </w:rPr>
        <w:t>íaz</w:t>
      </w:r>
      <w:r w:rsidR="00AC39A6" w:rsidRPr="00180258">
        <w:rPr>
          <w:rFonts w:ascii="Arial" w:hAnsi="Arial" w:cs="Arial"/>
          <w:sz w:val="24"/>
          <w:szCs w:val="24"/>
          <w:vertAlign w:val="superscript"/>
          <w:lang w:val="es-ES"/>
        </w:rPr>
        <w:t xml:space="preserve">2 </w:t>
      </w:r>
      <w:hyperlink r:id="rId11" w:history="1">
        <w:r w:rsidR="00B7449A" w:rsidRPr="00DE7EC6">
          <w:rPr>
            <w:rStyle w:val="Hipervnculo"/>
            <w:rFonts w:ascii="Arial" w:hAnsi="Arial" w:cs="Arial"/>
            <w:sz w:val="24"/>
            <w:szCs w:val="24"/>
            <w:lang w:val="es-ES"/>
          </w:rPr>
          <w:t>https://orcid.org/0000-0003-3439-7424</w:t>
        </w:r>
      </w:hyperlink>
    </w:p>
    <w:p w:rsidR="00B7449A" w:rsidRDefault="00703C87" w:rsidP="00797188">
      <w:pPr>
        <w:jc w:val="both"/>
        <w:rPr>
          <w:rFonts w:ascii="Arial" w:hAnsi="Arial" w:cs="Arial"/>
          <w:sz w:val="24"/>
          <w:szCs w:val="24"/>
          <w:lang w:val="es-ES"/>
        </w:rPr>
      </w:pPr>
      <w:r w:rsidRPr="00180258">
        <w:rPr>
          <w:rFonts w:ascii="Arial" w:hAnsi="Arial" w:cs="Arial"/>
          <w:sz w:val="24"/>
          <w:szCs w:val="24"/>
          <w:lang w:val="es-ES"/>
        </w:rPr>
        <w:t xml:space="preserve">Norma </w:t>
      </w:r>
      <w:r w:rsidR="009E03A3" w:rsidRPr="00180258">
        <w:rPr>
          <w:rFonts w:ascii="Arial" w:hAnsi="Arial" w:cs="Arial"/>
          <w:sz w:val="24"/>
          <w:szCs w:val="24"/>
          <w:lang w:val="es-ES"/>
        </w:rPr>
        <w:t>de</w:t>
      </w:r>
      <w:r w:rsidR="00DF41D1">
        <w:rPr>
          <w:rFonts w:ascii="Arial" w:hAnsi="Arial" w:cs="Arial"/>
          <w:sz w:val="24"/>
          <w:szCs w:val="24"/>
          <w:lang w:val="es-ES"/>
        </w:rPr>
        <w:t>l</w:t>
      </w:r>
      <w:r w:rsidR="009E03A3" w:rsidRPr="00180258">
        <w:rPr>
          <w:rFonts w:ascii="Arial" w:hAnsi="Arial" w:cs="Arial"/>
          <w:sz w:val="24"/>
          <w:szCs w:val="24"/>
          <w:lang w:val="es-ES"/>
        </w:rPr>
        <w:t xml:space="preserve"> Carmen </w:t>
      </w:r>
      <w:r w:rsidRPr="00180258">
        <w:rPr>
          <w:rFonts w:ascii="Arial" w:hAnsi="Arial" w:cs="Arial"/>
          <w:sz w:val="24"/>
          <w:szCs w:val="24"/>
          <w:lang w:val="es-ES"/>
        </w:rPr>
        <w:t xml:space="preserve">González </w:t>
      </w:r>
      <w:r w:rsidR="005624AA" w:rsidRPr="00180258">
        <w:rPr>
          <w:rFonts w:ascii="Arial" w:hAnsi="Arial" w:cs="Arial"/>
          <w:sz w:val="24"/>
          <w:szCs w:val="24"/>
          <w:lang w:val="es-ES"/>
        </w:rPr>
        <w:t>Lucas</w:t>
      </w:r>
      <w:r w:rsidR="00950D91" w:rsidRPr="00180258">
        <w:rPr>
          <w:rFonts w:ascii="Arial" w:hAnsi="Arial" w:cs="Arial"/>
          <w:sz w:val="24"/>
          <w:szCs w:val="24"/>
          <w:vertAlign w:val="superscript"/>
          <w:lang w:val="es-ES"/>
        </w:rPr>
        <w:t>1</w:t>
      </w:r>
      <w:r w:rsidR="00B7449A">
        <w:rPr>
          <w:rFonts w:ascii="Arial" w:hAnsi="Arial" w:cs="Arial"/>
          <w:sz w:val="24"/>
          <w:szCs w:val="24"/>
          <w:vertAlign w:val="superscript"/>
          <w:lang w:val="es-ES"/>
        </w:rPr>
        <w:t xml:space="preserve"> </w:t>
      </w:r>
      <w:hyperlink r:id="rId12" w:history="1">
        <w:r w:rsidR="00B7449A" w:rsidRPr="00DE7EC6">
          <w:rPr>
            <w:rStyle w:val="Hipervnculo"/>
            <w:rFonts w:ascii="Arial" w:hAnsi="Arial" w:cs="Arial"/>
            <w:sz w:val="24"/>
            <w:szCs w:val="24"/>
            <w:lang w:val="es-ES"/>
          </w:rPr>
          <w:t>https://orcid.org/0000-0003-3437-8709</w:t>
        </w:r>
      </w:hyperlink>
    </w:p>
    <w:p w:rsidR="00B7449A" w:rsidRDefault="00B7449A" w:rsidP="00797188">
      <w:pPr>
        <w:jc w:val="both"/>
        <w:rPr>
          <w:rFonts w:ascii="Arial" w:hAnsi="Arial" w:cs="Arial"/>
          <w:sz w:val="24"/>
          <w:szCs w:val="24"/>
          <w:lang w:val="es-ES"/>
        </w:rPr>
      </w:pPr>
    </w:p>
    <w:p w:rsidR="005624AA" w:rsidRPr="00180258" w:rsidRDefault="005624AA" w:rsidP="00797188">
      <w:pPr>
        <w:jc w:val="both"/>
        <w:rPr>
          <w:rFonts w:ascii="Arial" w:hAnsi="Arial" w:cs="Arial"/>
          <w:sz w:val="24"/>
          <w:szCs w:val="24"/>
          <w:lang w:val="es-ES"/>
        </w:rPr>
      </w:pPr>
      <w:r w:rsidRPr="00180258">
        <w:rPr>
          <w:rFonts w:ascii="Arial" w:hAnsi="Arial" w:cs="Arial"/>
          <w:sz w:val="24"/>
          <w:szCs w:val="24"/>
          <w:vertAlign w:val="superscript"/>
          <w:lang w:val="es-ES"/>
        </w:rPr>
        <w:t>1</w:t>
      </w:r>
      <w:r w:rsidRPr="00180258">
        <w:rPr>
          <w:rFonts w:ascii="Arial" w:hAnsi="Arial" w:cs="Arial"/>
          <w:sz w:val="24"/>
          <w:szCs w:val="24"/>
          <w:lang w:val="es-ES"/>
        </w:rPr>
        <w:t>Hospital Ginecobstétrico Docente Provincial Ana Betancourt de Mora. Camagüey, Cuba.</w:t>
      </w:r>
    </w:p>
    <w:p w:rsidR="005624AA" w:rsidRPr="00180258" w:rsidRDefault="005624AA" w:rsidP="00797188">
      <w:pPr>
        <w:jc w:val="both"/>
        <w:rPr>
          <w:rFonts w:ascii="Arial" w:hAnsi="Arial" w:cs="Arial"/>
          <w:sz w:val="24"/>
          <w:szCs w:val="24"/>
          <w:lang w:val="es-ES"/>
        </w:rPr>
      </w:pPr>
      <w:r w:rsidRPr="00180258">
        <w:rPr>
          <w:rFonts w:ascii="Arial" w:hAnsi="Arial" w:cs="Arial"/>
          <w:sz w:val="24"/>
          <w:szCs w:val="24"/>
          <w:vertAlign w:val="superscript"/>
          <w:lang w:val="es-ES"/>
        </w:rPr>
        <w:t>2</w:t>
      </w:r>
      <w:r w:rsidRPr="00180258">
        <w:rPr>
          <w:rFonts w:ascii="Arial" w:hAnsi="Arial" w:cs="Arial"/>
          <w:sz w:val="24"/>
          <w:szCs w:val="24"/>
          <w:lang w:val="es-ES"/>
        </w:rPr>
        <w:t>Hospital Pediátrico Docente Provincial Dr. Eduardo Agramonte Piña. Camagüey, Cuba.</w:t>
      </w:r>
    </w:p>
    <w:p w:rsidR="00A31E60" w:rsidRPr="00180258" w:rsidRDefault="00D559C8" w:rsidP="00797188">
      <w:pPr>
        <w:jc w:val="both"/>
        <w:rPr>
          <w:rFonts w:ascii="Arial" w:hAnsi="Arial" w:cs="Arial"/>
          <w:sz w:val="24"/>
          <w:szCs w:val="24"/>
          <w:lang w:val="es-ES"/>
        </w:rPr>
      </w:pPr>
      <w:r>
        <w:rPr>
          <w:rFonts w:ascii="Arial" w:hAnsi="Arial" w:cs="Arial"/>
          <w:sz w:val="24"/>
          <w:szCs w:val="24"/>
          <w:vertAlign w:val="superscript"/>
          <w:lang w:val="es-ES"/>
        </w:rPr>
        <w:t>2</w:t>
      </w:r>
      <w:r w:rsidR="005624AA" w:rsidRPr="00180258">
        <w:rPr>
          <w:rFonts w:ascii="Arial" w:hAnsi="Arial" w:cs="Arial"/>
          <w:sz w:val="24"/>
          <w:szCs w:val="24"/>
          <w:vertAlign w:val="superscript"/>
          <w:lang w:val="es-ES"/>
        </w:rPr>
        <w:t>*</w:t>
      </w:r>
      <w:r>
        <w:rPr>
          <w:rFonts w:ascii="Arial" w:hAnsi="Arial" w:cs="Arial"/>
          <w:sz w:val="24"/>
          <w:szCs w:val="24"/>
          <w:lang w:val="es-ES"/>
        </w:rPr>
        <w:t>Autor</w:t>
      </w:r>
      <w:r w:rsidR="004577E8" w:rsidRPr="00180258">
        <w:rPr>
          <w:rFonts w:ascii="Arial" w:hAnsi="Arial" w:cs="Arial"/>
          <w:sz w:val="24"/>
          <w:szCs w:val="24"/>
          <w:lang w:val="es-ES"/>
        </w:rPr>
        <w:t xml:space="preserve"> para la correspondencia: </w:t>
      </w:r>
      <w:r>
        <w:rPr>
          <w:rFonts w:ascii="Arial" w:hAnsi="Arial" w:cs="Arial"/>
          <w:sz w:val="24"/>
          <w:szCs w:val="24"/>
          <w:lang w:val="es-ES"/>
        </w:rPr>
        <w:t>Dr. Rolando Rodríguez Puga</w:t>
      </w:r>
      <w:r w:rsidR="00A31E60" w:rsidRPr="00180258">
        <w:rPr>
          <w:rFonts w:ascii="Arial" w:hAnsi="Arial" w:cs="Arial"/>
          <w:sz w:val="24"/>
          <w:szCs w:val="24"/>
          <w:lang w:val="es-ES"/>
        </w:rPr>
        <w:t>.</w:t>
      </w:r>
    </w:p>
    <w:p w:rsidR="00B7449A" w:rsidRDefault="00B7449A" w:rsidP="00797188">
      <w:pPr>
        <w:jc w:val="both"/>
        <w:rPr>
          <w:rFonts w:ascii="Arial" w:hAnsi="Arial" w:cs="Arial"/>
          <w:sz w:val="24"/>
          <w:szCs w:val="24"/>
          <w:lang w:val="es-ES"/>
        </w:rPr>
      </w:pPr>
    </w:p>
    <w:p w:rsidR="00376751" w:rsidRDefault="00B7449A" w:rsidP="00797188">
      <w:pPr>
        <w:jc w:val="both"/>
        <w:rPr>
          <w:rFonts w:ascii="Arial" w:hAnsi="Arial" w:cs="Arial"/>
          <w:sz w:val="24"/>
          <w:szCs w:val="24"/>
          <w:lang w:val="es-ES"/>
        </w:rPr>
      </w:pPr>
      <w:r>
        <w:rPr>
          <w:rFonts w:ascii="Arial" w:hAnsi="Arial" w:cs="Arial"/>
          <w:sz w:val="24"/>
          <w:szCs w:val="24"/>
          <w:lang w:val="es-ES"/>
        </w:rPr>
        <w:t xml:space="preserve">*Autor para la correspondencia: </w:t>
      </w:r>
      <w:hyperlink r:id="rId13" w:history="1">
        <w:r w:rsidRPr="00DE7EC6">
          <w:rPr>
            <w:rStyle w:val="Hipervnculo"/>
            <w:rFonts w:ascii="Arial" w:hAnsi="Arial" w:cs="Arial"/>
            <w:sz w:val="24"/>
            <w:szCs w:val="24"/>
            <w:lang w:val="es-ES"/>
          </w:rPr>
          <w:t>rolandote1986@gmail.com</w:t>
        </w:r>
      </w:hyperlink>
    </w:p>
    <w:p w:rsidR="00B7449A" w:rsidRDefault="00B7449A" w:rsidP="00797188">
      <w:pPr>
        <w:jc w:val="both"/>
        <w:rPr>
          <w:rFonts w:ascii="Arial" w:hAnsi="Arial" w:cs="Arial"/>
          <w:sz w:val="24"/>
          <w:szCs w:val="24"/>
          <w:lang w:val="es-ES"/>
        </w:rPr>
      </w:pPr>
    </w:p>
    <w:p w:rsidR="005E2D6D" w:rsidRPr="00180258" w:rsidRDefault="00776F5F" w:rsidP="00797188">
      <w:pPr>
        <w:jc w:val="both"/>
        <w:rPr>
          <w:rFonts w:ascii="Arial" w:hAnsi="Arial" w:cs="Arial"/>
          <w:sz w:val="24"/>
          <w:szCs w:val="24"/>
          <w:lang w:val="es-ES"/>
        </w:rPr>
      </w:pPr>
      <w:r>
        <w:rPr>
          <w:rFonts w:ascii="Arial" w:hAnsi="Arial" w:cs="Arial"/>
          <w:b/>
          <w:sz w:val="24"/>
          <w:szCs w:val="24"/>
          <w:lang w:val="es-ES"/>
        </w:rPr>
        <w:t>RESUMEN</w:t>
      </w:r>
    </w:p>
    <w:p w:rsidR="00B7449A" w:rsidRDefault="005E2D6D" w:rsidP="00797188">
      <w:pPr>
        <w:jc w:val="both"/>
        <w:rPr>
          <w:rFonts w:ascii="Arial" w:hAnsi="Arial" w:cs="Arial"/>
          <w:sz w:val="24"/>
          <w:szCs w:val="24"/>
          <w:lang w:val="es-ES"/>
        </w:rPr>
      </w:pPr>
      <w:r w:rsidRPr="00180258">
        <w:rPr>
          <w:rFonts w:ascii="Arial" w:hAnsi="Arial" w:cs="Arial"/>
          <w:b/>
          <w:sz w:val="24"/>
          <w:szCs w:val="24"/>
          <w:lang w:val="es-ES"/>
        </w:rPr>
        <w:t>Introducción:</w:t>
      </w:r>
      <w:r w:rsidRPr="00180258">
        <w:rPr>
          <w:rFonts w:ascii="Arial" w:hAnsi="Arial" w:cs="Arial"/>
          <w:sz w:val="24"/>
          <w:szCs w:val="24"/>
          <w:lang w:val="es-ES"/>
        </w:rPr>
        <w:t xml:space="preserve"> La Organización Mundial de la Salud, </w:t>
      </w:r>
      <w:r w:rsidR="00032FFD" w:rsidRPr="00180258">
        <w:rPr>
          <w:rFonts w:ascii="Arial" w:hAnsi="Arial" w:cs="Arial"/>
          <w:sz w:val="24"/>
          <w:szCs w:val="24"/>
          <w:lang w:val="es-ES"/>
        </w:rPr>
        <w:t>reconoce la</w:t>
      </w:r>
      <w:r w:rsidRPr="00180258">
        <w:rPr>
          <w:rFonts w:ascii="Arial" w:hAnsi="Arial" w:cs="Arial"/>
          <w:sz w:val="24"/>
          <w:szCs w:val="24"/>
          <w:lang w:val="es-ES"/>
        </w:rPr>
        <w:t xml:space="preserve"> Infertilidad como la incapacidad de lograr un embarazo clínico después de 12 meses o más de relaciones sexuales no protegidas. </w:t>
      </w:r>
    </w:p>
    <w:p w:rsidR="00B7449A" w:rsidRDefault="005E2D6D" w:rsidP="00797188">
      <w:pPr>
        <w:jc w:val="both"/>
        <w:rPr>
          <w:rFonts w:ascii="Arial" w:hAnsi="Arial" w:cs="Arial"/>
          <w:sz w:val="24"/>
          <w:szCs w:val="24"/>
          <w:lang w:val="es-ES"/>
        </w:rPr>
      </w:pPr>
      <w:r w:rsidRPr="00180258">
        <w:rPr>
          <w:rFonts w:ascii="Arial" w:hAnsi="Arial" w:cs="Arial"/>
          <w:b/>
          <w:sz w:val="24"/>
          <w:szCs w:val="24"/>
          <w:lang w:val="es-ES"/>
        </w:rPr>
        <w:t>Objetivo:</w:t>
      </w:r>
      <w:r w:rsidRPr="00180258">
        <w:rPr>
          <w:rFonts w:ascii="Arial" w:hAnsi="Arial" w:cs="Arial"/>
          <w:sz w:val="24"/>
          <w:szCs w:val="24"/>
          <w:lang w:val="es-ES"/>
        </w:rPr>
        <w:t xml:space="preserve"> Car</w:t>
      </w:r>
      <w:r w:rsidR="00F3511E" w:rsidRPr="00180258">
        <w:rPr>
          <w:rFonts w:ascii="Arial" w:hAnsi="Arial" w:cs="Arial"/>
          <w:sz w:val="24"/>
          <w:szCs w:val="24"/>
          <w:lang w:val="es-ES"/>
        </w:rPr>
        <w:t>acterizar las gestantes</w:t>
      </w:r>
      <w:r w:rsidR="00E74C07">
        <w:rPr>
          <w:rFonts w:ascii="Arial" w:hAnsi="Arial" w:cs="Arial"/>
          <w:sz w:val="24"/>
          <w:szCs w:val="24"/>
          <w:lang w:val="es-ES"/>
        </w:rPr>
        <w:t xml:space="preserve"> </w:t>
      </w:r>
      <w:r w:rsidR="007F2096" w:rsidRPr="00180258">
        <w:rPr>
          <w:rFonts w:ascii="Arial" w:hAnsi="Arial" w:cs="Arial"/>
          <w:sz w:val="24"/>
          <w:szCs w:val="24"/>
          <w:lang w:val="es-ES"/>
        </w:rPr>
        <w:t xml:space="preserve">que fueron </w:t>
      </w:r>
      <w:r w:rsidR="00AA79DA" w:rsidRPr="00180258">
        <w:rPr>
          <w:rFonts w:ascii="Arial" w:hAnsi="Arial" w:cs="Arial"/>
          <w:sz w:val="24"/>
          <w:szCs w:val="24"/>
          <w:lang w:val="es-ES"/>
        </w:rPr>
        <w:t>atendidas en el Servicio P</w:t>
      </w:r>
      <w:r w:rsidR="007F2096" w:rsidRPr="00180258">
        <w:rPr>
          <w:rFonts w:ascii="Arial" w:hAnsi="Arial" w:cs="Arial"/>
          <w:sz w:val="24"/>
          <w:szCs w:val="24"/>
          <w:lang w:val="es-ES"/>
        </w:rPr>
        <w:t xml:space="preserve">rovincial de </w:t>
      </w:r>
      <w:r w:rsidR="00AA79DA" w:rsidRPr="00180258">
        <w:rPr>
          <w:rFonts w:ascii="Arial" w:hAnsi="Arial" w:cs="Arial"/>
          <w:sz w:val="24"/>
          <w:szCs w:val="24"/>
          <w:lang w:val="es-ES"/>
        </w:rPr>
        <w:t>B</w:t>
      </w:r>
      <w:r w:rsidRPr="00180258">
        <w:rPr>
          <w:rFonts w:ascii="Arial" w:hAnsi="Arial" w:cs="Arial"/>
          <w:sz w:val="24"/>
          <w:szCs w:val="24"/>
          <w:lang w:val="es-ES"/>
        </w:rPr>
        <w:t>a</w:t>
      </w:r>
      <w:r w:rsidR="00AA79DA" w:rsidRPr="00180258">
        <w:rPr>
          <w:rFonts w:ascii="Arial" w:hAnsi="Arial" w:cs="Arial"/>
          <w:sz w:val="24"/>
          <w:szCs w:val="24"/>
          <w:lang w:val="es-ES"/>
        </w:rPr>
        <w:t>ja C</w:t>
      </w:r>
      <w:r w:rsidR="009539EE" w:rsidRPr="00180258">
        <w:rPr>
          <w:rFonts w:ascii="Arial" w:hAnsi="Arial" w:cs="Arial"/>
          <w:sz w:val="24"/>
          <w:szCs w:val="24"/>
          <w:lang w:val="es-ES"/>
        </w:rPr>
        <w:t>omplejidad en el bienio 2019-2020</w:t>
      </w:r>
      <w:r w:rsidRPr="00180258">
        <w:rPr>
          <w:rFonts w:ascii="Arial" w:hAnsi="Arial" w:cs="Arial"/>
          <w:sz w:val="24"/>
          <w:szCs w:val="24"/>
          <w:lang w:val="es-ES"/>
        </w:rPr>
        <w:t>.</w:t>
      </w:r>
      <w:r w:rsidR="00FC5178">
        <w:rPr>
          <w:rFonts w:ascii="Arial" w:hAnsi="Arial" w:cs="Arial"/>
          <w:sz w:val="24"/>
          <w:szCs w:val="24"/>
          <w:lang w:val="es-ES"/>
        </w:rPr>
        <w:t xml:space="preserve"> </w:t>
      </w:r>
    </w:p>
    <w:p w:rsidR="00B7449A" w:rsidRDefault="00D53DBF" w:rsidP="00797188">
      <w:pPr>
        <w:jc w:val="both"/>
        <w:rPr>
          <w:rFonts w:ascii="Arial" w:hAnsi="Arial" w:cs="Arial"/>
          <w:sz w:val="24"/>
          <w:szCs w:val="24"/>
          <w:lang w:val="es-ES"/>
        </w:rPr>
      </w:pPr>
      <w:r w:rsidRPr="00180258">
        <w:rPr>
          <w:rFonts w:ascii="Arial" w:hAnsi="Arial" w:cs="Arial"/>
          <w:b/>
          <w:sz w:val="24"/>
          <w:szCs w:val="24"/>
          <w:lang w:val="es-ES"/>
        </w:rPr>
        <w:t>Método</w:t>
      </w:r>
      <w:r w:rsidR="00B7449A">
        <w:rPr>
          <w:rFonts w:ascii="Arial" w:hAnsi="Arial" w:cs="Arial"/>
          <w:b/>
          <w:sz w:val="24"/>
          <w:szCs w:val="24"/>
          <w:lang w:val="es-ES"/>
        </w:rPr>
        <w:t>s</w:t>
      </w:r>
      <w:r w:rsidR="005E2D6D" w:rsidRPr="00180258">
        <w:rPr>
          <w:rFonts w:ascii="Arial" w:hAnsi="Arial" w:cs="Arial"/>
          <w:b/>
          <w:sz w:val="24"/>
          <w:szCs w:val="24"/>
          <w:lang w:val="es-ES"/>
        </w:rPr>
        <w:t>:</w:t>
      </w:r>
      <w:r w:rsidR="005E2D6D" w:rsidRPr="00180258">
        <w:rPr>
          <w:rFonts w:ascii="Arial" w:hAnsi="Arial" w:cs="Arial"/>
          <w:sz w:val="24"/>
          <w:szCs w:val="24"/>
          <w:lang w:val="es-ES"/>
        </w:rPr>
        <w:t xml:space="preserve"> Se realizó un estudio </w:t>
      </w:r>
      <w:r w:rsidR="005833DE" w:rsidRPr="00180258">
        <w:rPr>
          <w:rFonts w:ascii="Arial" w:hAnsi="Arial" w:cs="Arial"/>
          <w:sz w:val="24"/>
          <w:szCs w:val="24"/>
          <w:lang w:val="es-ES"/>
        </w:rPr>
        <w:t xml:space="preserve">observacional, </w:t>
      </w:r>
      <w:r w:rsidR="005E2D6D" w:rsidRPr="00180258">
        <w:rPr>
          <w:rFonts w:ascii="Arial" w:hAnsi="Arial" w:cs="Arial"/>
          <w:sz w:val="24"/>
          <w:szCs w:val="24"/>
          <w:lang w:val="es-ES"/>
        </w:rPr>
        <w:t>descriptivo</w:t>
      </w:r>
      <w:r w:rsidR="005D4F39">
        <w:rPr>
          <w:rFonts w:ascii="Arial" w:hAnsi="Arial" w:cs="Arial"/>
          <w:sz w:val="24"/>
          <w:szCs w:val="24"/>
          <w:lang w:val="es-ES"/>
        </w:rPr>
        <w:t xml:space="preserve"> </w:t>
      </w:r>
      <w:r w:rsidR="00032FFD" w:rsidRPr="00180258">
        <w:rPr>
          <w:rFonts w:ascii="Arial" w:hAnsi="Arial" w:cs="Arial"/>
          <w:sz w:val="24"/>
          <w:szCs w:val="24"/>
          <w:lang w:val="es-ES"/>
        </w:rPr>
        <w:t>y transversal</w:t>
      </w:r>
      <w:r w:rsidR="00133B7F" w:rsidRPr="00180258">
        <w:rPr>
          <w:rFonts w:ascii="Arial" w:hAnsi="Arial" w:cs="Arial"/>
          <w:sz w:val="24"/>
          <w:szCs w:val="24"/>
          <w:lang w:val="es-ES"/>
        </w:rPr>
        <w:t>, en el S</w:t>
      </w:r>
      <w:r w:rsidR="005E2D6D" w:rsidRPr="00180258">
        <w:rPr>
          <w:rFonts w:ascii="Arial" w:hAnsi="Arial" w:cs="Arial"/>
          <w:sz w:val="24"/>
          <w:szCs w:val="24"/>
          <w:lang w:val="es-ES"/>
        </w:rPr>
        <w:t xml:space="preserve">ervicio </w:t>
      </w:r>
      <w:r w:rsidR="00133B7F" w:rsidRPr="00180258">
        <w:rPr>
          <w:rFonts w:ascii="Arial" w:hAnsi="Arial" w:cs="Arial"/>
          <w:sz w:val="24"/>
          <w:szCs w:val="24"/>
          <w:lang w:val="es-ES"/>
        </w:rPr>
        <w:t>P</w:t>
      </w:r>
      <w:r w:rsidR="00032FFD" w:rsidRPr="00180258">
        <w:rPr>
          <w:rFonts w:ascii="Arial" w:hAnsi="Arial" w:cs="Arial"/>
          <w:sz w:val="24"/>
          <w:szCs w:val="24"/>
          <w:lang w:val="es-ES"/>
        </w:rPr>
        <w:t>rovincial de</w:t>
      </w:r>
      <w:r w:rsidR="00133B7F" w:rsidRPr="00180258">
        <w:rPr>
          <w:rFonts w:ascii="Arial" w:hAnsi="Arial" w:cs="Arial"/>
          <w:sz w:val="24"/>
          <w:szCs w:val="24"/>
          <w:lang w:val="es-ES"/>
        </w:rPr>
        <w:t xml:space="preserve"> Reproducción A</w:t>
      </w:r>
      <w:r w:rsidRPr="00180258">
        <w:rPr>
          <w:rFonts w:ascii="Arial" w:hAnsi="Arial" w:cs="Arial"/>
          <w:sz w:val="24"/>
          <w:szCs w:val="24"/>
          <w:lang w:val="es-ES"/>
        </w:rPr>
        <w:t>sistida de</w:t>
      </w:r>
      <w:r w:rsidR="00133B7F" w:rsidRPr="00180258">
        <w:rPr>
          <w:rFonts w:ascii="Arial" w:hAnsi="Arial" w:cs="Arial"/>
          <w:sz w:val="24"/>
          <w:szCs w:val="24"/>
          <w:lang w:val="es-ES"/>
        </w:rPr>
        <w:t xml:space="preserve"> Baja C</w:t>
      </w:r>
      <w:r w:rsidR="00FC5178">
        <w:rPr>
          <w:rFonts w:ascii="Arial" w:hAnsi="Arial" w:cs="Arial"/>
          <w:sz w:val="24"/>
          <w:szCs w:val="24"/>
          <w:lang w:val="es-ES"/>
        </w:rPr>
        <w:t xml:space="preserve">omplejidad del Hospital </w:t>
      </w:r>
      <w:r w:rsidR="005E2D6D" w:rsidRPr="00180258">
        <w:rPr>
          <w:rFonts w:ascii="Arial" w:hAnsi="Arial" w:cs="Arial"/>
          <w:sz w:val="24"/>
          <w:szCs w:val="24"/>
          <w:lang w:val="es-ES"/>
        </w:rPr>
        <w:t>Ginecobstétrico Ana Betancourt de Mora de Camagüey durante</w:t>
      </w:r>
      <w:r w:rsidRPr="00180258">
        <w:rPr>
          <w:rFonts w:ascii="Arial" w:hAnsi="Arial" w:cs="Arial"/>
          <w:sz w:val="24"/>
          <w:szCs w:val="24"/>
          <w:lang w:val="es-ES"/>
        </w:rPr>
        <w:t xml:space="preserve"> el bienio</w:t>
      </w:r>
      <w:r w:rsidR="009539EE" w:rsidRPr="00180258">
        <w:rPr>
          <w:rFonts w:ascii="Arial" w:hAnsi="Arial" w:cs="Arial"/>
          <w:sz w:val="24"/>
          <w:szCs w:val="24"/>
          <w:lang w:val="es-ES"/>
        </w:rPr>
        <w:t xml:space="preserve"> 2019-2020</w:t>
      </w:r>
      <w:r w:rsidR="005E2D6D" w:rsidRPr="00180258">
        <w:rPr>
          <w:rFonts w:ascii="Arial" w:hAnsi="Arial" w:cs="Arial"/>
          <w:sz w:val="24"/>
          <w:szCs w:val="24"/>
          <w:lang w:val="es-ES"/>
        </w:rPr>
        <w:t xml:space="preserve">. El universo fueron 192 </w:t>
      </w:r>
      <w:r w:rsidRPr="00180258">
        <w:rPr>
          <w:rFonts w:ascii="Arial" w:hAnsi="Arial" w:cs="Arial"/>
          <w:sz w:val="24"/>
          <w:szCs w:val="24"/>
          <w:lang w:val="es-ES"/>
        </w:rPr>
        <w:t>parejas</w:t>
      </w:r>
      <w:r w:rsidR="00006B6D" w:rsidRPr="00180258">
        <w:rPr>
          <w:rFonts w:ascii="Arial" w:hAnsi="Arial" w:cs="Arial"/>
          <w:sz w:val="24"/>
          <w:szCs w:val="24"/>
          <w:lang w:val="es-ES"/>
        </w:rPr>
        <w:t xml:space="preserve"> que acudieron al s</w:t>
      </w:r>
      <w:r w:rsidR="005E2D6D" w:rsidRPr="00180258">
        <w:rPr>
          <w:rFonts w:ascii="Arial" w:hAnsi="Arial" w:cs="Arial"/>
          <w:sz w:val="24"/>
          <w:szCs w:val="24"/>
          <w:lang w:val="es-ES"/>
        </w:rPr>
        <w:t>ervicio</w:t>
      </w:r>
      <w:r w:rsidR="00B205B0" w:rsidRPr="00180258">
        <w:rPr>
          <w:rFonts w:ascii="Arial" w:hAnsi="Arial" w:cs="Arial"/>
          <w:sz w:val="24"/>
          <w:szCs w:val="24"/>
          <w:lang w:val="es-ES"/>
        </w:rPr>
        <w:t xml:space="preserve"> y lograron gestación</w:t>
      </w:r>
      <w:r w:rsidR="005E2D6D" w:rsidRPr="00180258">
        <w:rPr>
          <w:rFonts w:ascii="Arial" w:hAnsi="Arial" w:cs="Arial"/>
          <w:sz w:val="24"/>
          <w:szCs w:val="24"/>
          <w:lang w:val="es-ES"/>
        </w:rPr>
        <w:t xml:space="preserve">, extrayéndose una muestra de 173 </w:t>
      </w:r>
      <w:r w:rsidR="00032FFD" w:rsidRPr="00180258">
        <w:rPr>
          <w:rFonts w:ascii="Arial" w:hAnsi="Arial" w:cs="Arial"/>
          <w:sz w:val="24"/>
          <w:szCs w:val="24"/>
          <w:lang w:val="es-ES"/>
        </w:rPr>
        <w:t>mujeres, según</w:t>
      </w:r>
      <w:r w:rsidR="005E2D6D" w:rsidRPr="00180258">
        <w:rPr>
          <w:rFonts w:ascii="Arial" w:hAnsi="Arial" w:cs="Arial"/>
          <w:sz w:val="24"/>
          <w:szCs w:val="24"/>
          <w:lang w:val="es-ES"/>
        </w:rPr>
        <w:t xml:space="preserve">   criterios de inclusión y exclusión. </w:t>
      </w:r>
      <w:r w:rsidR="00032FFD" w:rsidRPr="00180258">
        <w:rPr>
          <w:rFonts w:ascii="Arial" w:hAnsi="Arial" w:cs="Arial"/>
          <w:sz w:val="24"/>
          <w:szCs w:val="24"/>
          <w:lang w:val="es-ES"/>
        </w:rPr>
        <w:lastRenderedPageBreak/>
        <w:t>Las variables</w:t>
      </w:r>
      <w:r w:rsidR="005E2D6D" w:rsidRPr="00180258">
        <w:rPr>
          <w:rFonts w:ascii="Arial" w:hAnsi="Arial" w:cs="Arial"/>
          <w:sz w:val="24"/>
          <w:szCs w:val="24"/>
          <w:lang w:val="es-ES"/>
        </w:rPr>
        <w:t xml:space="preserve"> estudiadas incluyeron: Edad, tipo y tiempo de infertilidad, factor causal, factor masculino asociado, estudios realizados, terapéutica recibida, tiempo de atención en consulta.</w:t>
      </w:r>
      <w:r w:rsidR="00E74C07">
        <w:rPr>
          <w:rFonts w:ascii="Arial" w:hAnsi="Arial" w:cs="Arial"/>
          <w:sz w:val="24"/>
          <w:szCs w:val="24"/>
          <w:lang w:val="es-ES"/>
        </w:rPr>
        <w:t xml:space="preserve"> </w:t>
      </w:r>
      <w:r w:rsidR="00DE374C" w:rsidRPr="00180258">
        <w:rPr>
          <w:rFonts w:ascii="Arial" w:hAnsi="Arial" w:cs="Arial"/>
          <w:sz w:val="24"/>
          <w:szCs w:val="24"/>
          <w:lang w:val="es-ES"/>
        </w:rPr>
        <w:t xml:space="preserve">Para </w:t>
      </w:r>
      <w:r w:rsidR="00B5108B" w:rsidRPr="00180258">
        <w:rPr>
          <w:rFonts w:ascii="Arial" w:hAnsi="Arial" w:cs="Arial"/>
          <w:sz w:val="24"/>
          <w:szCs w:val="24"/>
          <w:lang w:val="es-ES"/>
        </w:rPr>
        <w:t>realizar la investigación se tuvo en cuenta la aprobación del tema en el Comité Científico del Hospital y los principios bioéticos contenidos en la Declaración de Helsinki.</w:t>
      </w:r>
      <w:r w:rsidR="00FC5178">
        <w:rPr>
          <w:rFonts w:ascii="Arial" w:hAnsi="Arial" w:cs="Arial"/>
          <w:sz w:val="24"/>
          <w:szCs w:val="24"/>
          <w:lang w:val="es-ES"/>
        </w:rPr>
        <w:t xml:space="preserve"> </w:t>
      </w:r>
    </w:p>
    <w:p w:rsidR="00B7449A" w:rsidRDefault="005E2D6D" w:rsidP="00797188">
      <w:pPr>
        <w:jc w:val="both"/>
        <w:rPr>
          <w:rFonts w:ascii="Arial" w:hAnsi="Arial" w:cs="Arial"/>
          <w:sz w:val="24"/>
          <w:szCs w:val="24"/>
          <w:lang w:val="es-ES"/>
        </w:rPr>
      </w:pPr>
      <w:r w:rsidRPr="00180258">
        <w:rPr>
          <w:rFonts w:ascii="Arial" w:hAnsi="Arial" w:cs="Arial"/>
          <w:b/>
          <w:sz w:val="24"/>
          <w:szCs w:val="24"/>
          <w:lang w:val="es-ES"/>
        </w:rPr>
        <w:t>Resultados:</w:t>
      </w:r>
      <w:r w:rsidRPr="00180258">
        <w:rPr>
          <w:rFonts w:ascii="Arial" w:hAnsi="Arial" w:cs="Arial"/>
          <w:sz w:val="24"/>
          <w:szCs w:val="24"/>
          <w:lang w:val="es-ES"/>
        </w:rPr>
        <w:t xml:space="preserve"> Predominó el grupo de 25 a 29 años de edad con 18,5 %. </w:t>
      </w:r>
      <w:r w:rsidR="002A3B51" w:rsidRPr="00180258">
        <w:rPr>
          <w:rFonts w:ascii="Arial" w:hAnsi="Arial" w:cs="Arial"/>
          <w:sz w:val="24"/>
          <w:szCs w:val="24"/>
          <w:lang w:val="es-ES"/>
        </w:rPr>
        <w:t>El factor de infertilidad más frecuente fue el cervical con 32,9</w:t>
      </w:r>
      <w:r w:rsidRPr="00180258">
        <w:rPr>
          <w:rFonts w:ascii="Arial" w:hAnsi="Arial" w:cs="Arial"/>
          <w:sz w:val="24"/>
          <w:szCs w:val="24"/>
          <w:lang w:val="es-ES"/>
        </w:rPr>
        <w:t>%.</w:t>
      </w:r>
      <w:r w:rsidR="00EC4B7B">
        <w:rPr>
          <w:rFonts w:ascii="Arial" w:hAnsi="Arial" w:cs="Arial"/>
          <w:sz w:val="24"/>
          <w:szCs w:val="24"/>
          <w:lang w:val="es-ES"/>
        </w:rPr>
        <w:t xml:space="preserve"> </w:t>
      </w:r>
      <w:r w:rsidRPr="00180258">
        <w:rPr>
          <w:rFonts w:ascii="Arial" w:hAnsi="Arial" w:cs="Arial"/>
          <w:sz w:val="24"/>
          <w:szCs w:val="24"/>
          <w:lang w:val="es-ES"/>
        </w:rPr>
        <w:t xml:space="preserve">El </w:t>
      </w:r>
      <w:r w:rsidR="00D53DBF" w:rsidRPr="00180258">
        <w:rPr>
          <w:rFonts w:ascii="Arial" w:hAnsi="Arial" w:cs="Arial"/>
          <w:sz w:val="24"/>
          <w:szCs w:val="24"/>
          <w:lang w:val="es-ES"/>
        </w:rPr>
        <w:t xml:space="preserve">seguimiento folicular </w:t>
      </w:r>
      <w:r w:rsidR="00032FFD" w:rsidRPr="00180258">
        <w:rPr>
          <w:rFonts w:ascii="Arial" w:hAnsi="Arial" w:cs="Arial"/>
          <w:sz w:val="24"/>
          <w:szCs w:val="24"/>
          <w:lang w:val="es-ES"/>
        </w:rPr>
        <w:t>se</w:t>
      </w:r>
      <w:r w:rsidR="00257419" w:rsidRPr="00180258">
        <w:rPr>
          <w:rFonts w:ascii="Arial" w:hAnsi="Arial" w:cs="Arial"/>
          <w:sz w:val="24"/>
          <w:szCs w:val="24"/>
          <w:lang w:val="es-ES"/>
        </w:rPr>
        <w:t xml:space="preserve"> practicó en 138</w:t>
      </w:r>
      <w:r w:rsidR="004E6E31">
        <w:rPr>
          <w:rFonts w:ascii="Arial" w:hAnsi="Arial" w:cs="Arial"/>
          <w:sz w:val="24"/>
          <w:szCs w:val="24"/>
          <w:lang w:val="es-ES"/>
        </w:rPr>
        <w:t xml:space="preserve"> </w:t>
      </w:r>
      <w:r w:rsidR="009D6133" w:rsidRPr="00180258">
        <w:rPr>
          <w:rFonts w:ascii="Arial" w:hAnsi="Arial" w:cs="Arial"/>
          <w:sz w:val="24"/>
          <w:szCs w:val="24"/>
          <w:lang w:val="es-ES"/>
        </w:rPr>
        <w:t>fe</w:t>
      </w:r>
      <w:r w:rsidRPr="00180258">
        <w:rPr>
          <w:rFonts w:ascii="Arial" w:hAnsi="Arial" w:cs="Arial"/>
          <w:sz w:val="24"/>
          <w:szCs w:val="24"/>
          <w:lang w:val="es-ES"/>
        </w:rPr>
        <w:t>minas</w:t>
      </w:r>
      <w:r w:rsidR="005D4F39">
        <w:rPr>
          <w:rFonts w:ascii="Arial" w:hAnsi="Arial" w:cs="Arial"/>
          <w:sz w:val="24"/>
          <w:szCs w:val="24"/>
          <w:lang w:val="es-ES"/>
        </w:rPr>
        <w:t xml:space="preserve"> </w:t>
      </w:r>
      <w:r w:rsidR="00257419" w:rsidRPr="00180258">
        <w:rPr>
          <w:rFonts w:ascii="Arial" w:hAnsi="Arial" w:cs="Arial"/>
          <w:sz w:val="24"/>
          <w:szCs w:val="24"/>
          <w:lang w:val="es-ES"/>
        </w:rPr>
        <w:t>(80,5</w:t>
      </w:r>
      <w:r w:rsidRPr="00180258">
        <w:rPr>
          <w:rFonts w:ascii="Arial" w:hAnsi="Arial" w:cs="Arial"/>
          <w:sz w:val="24"/>
          <w:szCs w:val="24"/>
          <w:lang w:val="es-ES"/>
        </w:rPr>
        <w:t xml:space="preserve">%). La </w:t>
      </w:r>
      <w:r w:rsidR="00032FFD" w:rsidRPr="00180258">
        <w:rPr>
          <w:rFonts w:ascii="Arial" w:hAnsi="Arial" w:cs="Arial"/>
          <w:sz w:val="24"/>
          <w:szCs w:val="24"/>
          <w:lang w:val="es-ES"/>
        </w:rPr>
        <w:t>histerosalpingografía se</w:t>
      </w:r>
      <w:r w:rsidRPr="00180258">
        <w:rPr>
          <w:rFonts w:ascii="Arial" w:hAnsi="Arial" w:cs="Arial"/>
          <w:sz w:val="24"/>
          <w:szCs w:val="24"/>
          <w:lang w:val="es-ES"/>
        </w:rPr>
        <w:t xml:space="preserve"> utilizó en el 50 % de las mujeres. En el 40,46 </w:t>
      </w:r>
      <w:r w:rsidR="00032FFD" w:rsidRPr="00180258">
        <w:rPr>
          <w:rFonts w:ascii="Arial" w:hAnsi="Arial" w:cs="Arial"/>
          <w:sz w:val="24"/>
          <w:szCs w:val="24"/>
          <w:lang w:val="es-ES"/>
        </w:rPr>
        <w:t>% se</w:t>
      </w:r>
      <w:r w:rsidR="00EC4B7B">
        <w:rPr>
          <w:rFonts w:ascii="Arial" w:hAnsi="Arial" w:cs="Arial"/>
          <w:sz w:val="24"/>
          <w:szCs w:val="24"/>
          <w:lang w:val="es-ES"/>
        </w:rPr>
        <w:t xml:space="preserve"> </w:t>
      </w:r>
      <w:r w:rsidR="00032FFD" w:rsidRPr="00180258">
        <w:rPr>
          <w:rFonts w:ascii="Arial" w:hAnsi="Arial" w:cs="Arial"/>
          <w:sz w:val="24"/>
          <w:szCs w:val="24"/>
          <w:lang w:val="es-ES"/>
        </w:rPr>
        <w:t>aplicó estimulación</w:t>
      </w:r>
      <w:r w:rsidRPr="00180258">
        <w:rPr>
          <w:rFonts w:ascii="Arial" w:hAnsi="Arial" w:cs="Arial"/>
          <w:sz w:val="24"/>
          <w:szCs w:val="24"/>
          <w:lang w:val="es-ES"/>
        </w:rPr>
        <w:t xml:space="preserve"> ovárica </w:t>
      </w:r>
      <w:r w:rsidR="00032FFD" w:rsidRPr="00180258">
        <w:rPr>
          <w:rFonts w:ascii="Arial" w:hAnsi="Arial" w:cs="Arial"/>
          <w:sz w:val="24"/>
          <w:szCs w:val="24"/>
          <w:lang w:val="es-ES"/>
        </w:rPr>
        <w:t>controlada más</w:t>
      </w:r>
      <w:r w:rsidRPr="00180258">
        <w:rPr>
          <w:rFonts w:ascii="Arial" w:hAnsi="Arial" w:cs="Arial"/>
          <w:sz w:val="24"/>
          <w:szCs w:val="24"/>
          <w:lang w:val="es-ES"/>
        </w:rPr>
        <w:t xml:space="preserve"> coito </w:t>
      </w:r>
      <w:r w:rsidR="00032FFD" w:rsidRPr="00180258">
        <w:rPr>
          <w:rFonts w:ascii="Arial" w:hAnsi="Arial" w:cs="Arial"/>
          <w:sz w:val="24"/>
          <w:szCs w:val="24"/>
          <w:lang w:val="es-ES"/>
        </w:rPr>
        <w:t>programado.</w:t>
      </w:r>
      <w:r w:rsidR="00FC5178">
        <w:rPr>
          <w:rFonts w:ascii="Arial" w:hAnsi="Arial" w:cs="Arial"/>
          <w:sz w:val="24"/>
          <w:szCs w:val="24"/>
          <w:lang w:val="es-ES"/>
        </w:rPr>
        <w:t xml:space="preserve"> </w:t>
      </w:r>
    </w:p>
    <w:p w:rsidR="005E2D6D" w:rsidRPr="00180258" w:rsidRDefault="005E2D6D" w:rsidP="00797188">
      <w:pPr>
        <w:jc w:val="both"/>
        <w:rPr>
          <w:rFonts w:ascii="Arial" w:hAnsi="Arial" w:cs="Arial"/>
          <w:sz w:val="24"/>
          <w:szCs w:val="24"/>
          <w:lang w:val="es-ES"/>
        </w:rPr>
      </w:pPr>
      <w:r w:rsidRPr="00180258">
        <w:rPr>
          <w:rFonts w:ascii="Arial" w:hAnsi="Arial" w:cs="Arial"/>
          <w:b/>
          <w:sz w:val="24"/>
          <w:szCs w:val="24"/>
          <w:lang w:val="es-ES"/>
        </w:rPr>
        <w:t>Conclusiones:</w:t>
      </w:r>
      <w:r w:rsidRPr="00180258">
        <w:rPr>
          <w:rFonts w:ascii="Arial" w:hAnsi="Arial" w:cs="Arial"/>
          <w:sz w:val="24"/>
          <w:szCs w:val="24"/>
          <w:lang w:val="es-ES"/>
        </w:rPr>
        <w:t xml:space="preserve">  La mayoría de las parejas lograron embarazo los 2 primeros años de atención, de ellas, más de la mitad con antecedentes de 5 años o menos de infertilidad.</w:t>
      </w:r>
    </w:p>
    <w:p w:rsidR="00FF4957" w:rsidRPr="00180258" w:rsidRDefault="00B7449A" w:rsidP="00797188">
      <w:pPr>
        <w:jc w:val="both"/>
        <w:rPr>
          <w:rFonts w:ascii="Arial" w:hAnsi="Arial" w:cs="Arial"/>
          <w:sz w:val="24"/>
          <w:szCs w:val="24"/>
          <w:lang w:val="es-ES"/>
        </w:rPr>
      </w:pPr>
      <w:r>
        <w:rPr>
          <w:rFonts w:ascii="Arial" w:hAnsi="Arial" w:cs="Arial"/>
          <w:b/>
          <w:sz w:val="24"/>
          <w:szCs w:val="24"/>
          <w:lang w:val="es-ES"/>
        </w:rPr>
        <w:t>Palabras clave</w:t>
      </w:r>
      <w:r w:rsidR="008C5F5C" w:rsidRPr="00EC4B7B">
        <w:rPr>
          <w:rFonts w:ascii="Arial" w:hAnsi="Arial" w:cs="Arial"/>
          <w:b/>
          <w:sz w:val="24"/>
          <w:szCs w:val="24"/>
          <w:lang w:val="es-ES"/>
        </w:rPr>
        <w:t>:</w:t>
      </w:r>
      <w:r w:rsidR="005D4F39">
        <w:rPr>
          <w:rFonts w:ascii="Arial" w:hAnsi="Arial" w:cs="Arial"/>
          <w:sz w:val="24"/>
          <w:szCs w:val="24"/>
          <w:lang w:val="es-ES"/>
        </w:rPr>
        <w:t xml:space="preserve"> infertilidad</w:t>
      </w:r>
      <w:r w:rsidR="00257419" w:rsidRPr="00180258">
        <w:rPr>
          <w:rFonts w:ascii="Arial" w:hAnsi="Arial" w:cs="Arial"/>
          <w:sz w:val="24"/>
          <w:szCs w:val="24"/>
          <w:lang w:val="es-ES"/>
        </w:rPr>
        <w:t>,</w:t>
      </w:r>
      <w:r w:rsidR="00767376" w:rsidRPr="00180258">
        <w:rPr>
          <w:rFonts w:ascii="Arial" w:hAnsi="Arial" w:cs="Arial"/>
          <w:sz w:val="24"/>
          <w:szCs w:val="24"/>
          <w:lang w:val="es-ES"/>
        </w:rPr>
        <w:t xml:space="preserve"> r</w:t>
      </w:r>
      <w:r w:rsidR="00C37F40" w:rsidRPr="00180258">
        <w:rPr>
          <w:rFonts w:ascii="Arial" w:hAnsi="Arial" w:cs="Arial"/>
          <w:sz w:val="24"/>
          <w:szCs w:val="24"/>
          <w:lang w:val="es-ES"/>
        </w:rPr>
        <w:t>eproducci</w:t>
      </w:r>
      <w:r w:rsidR="00767376" w:rsidRPr="00180258">
        <w:rPr>
          <w:rFonts w:ascii="Arial" w:hAnsi="Arial" w:cs="Arial"/>
          <w:sz w:val="24"/>
          <w:szCs w:val="24"/>
          <w:lang w:val="es-ES"/>
        </w:rPr>
        <w:t>ón a</w:t>
      </w:r>
      <w:r w:rsidR="00F02A39" w:rsidRPr="00180258">
        <w:rPr>
          <w:rFonts w:ascii="Arial" w:hAnsi="Arial" w:cs="Arial"/>
          <w:sz w:val="24"/>
          <w:szCs w:val="24"/>
          <w:lang w:val="es-ES"/>
        </w:rPr>
        <w:t>sistida</w:t>
      </w:r>
      <w:r w:rsidR="00767376" w:rsidRPr="00180258">
        <w:rPr>
          <w:rFonts w:ascii="Arial" w:hAnsi="Arial" w:cs="Arial"/>
          <w:sz w:val="24"/>
          <w:szCs w:val="24"/>
          <w:lang w:val="es-ES"/>
        </w:rPr>
        <w:t>, estimulación ovárica c</w:t>
      </w:r>
      <w:r w:rsidR="00257419" w:rsidRPr="00180258">
        <w:rPr>
          <w:rFonts w:ascii="Arial" w:hAnsi="Arial" w:cs="Arial"/>
          <w:sz w:val="24"/>
          <w:szCs w:val="24"/>
          <w:lang w:val="es-ES"/>
        </w:rPr>
        <w:t>ontrolada</w:t>
      </w:r>
      <w:r w:rsidR="00C37F40" w:rsidRPr="00180258">
        <w:rPr>
          <w:rFonts w:ascii="Arial" w:hAnsi="Arial" w:cs="Arial"/>
          <w:sz w:val="24"/>
          <w:szCs w:val="24"/>
          <w:lang w:val="es-ES"/>
        </w:rPr>
        <w:t>.</w:t>
      </w:r>
    </w:p>
    <w:p w:rsidR="00B7449A" w:rsidRDefault="00B7449A" w:rsidP="00797188">
      <w:pPr>
        <w:jc w:val="both"/>
        <w:rPr>
          <w:rFonts w:ascii="Arial" w:hAnsi="Arial" w:cs="Arial"/>
          <w:b/>
          <w:i/>
          <w:sz w:val="24"/>
          <w:szCs w:val="24"/>
          <w:lang w:val="es-ES"/>
        </w:rPr>
      </w:pPr>
    </w:p>
    <w:p w:rsidR="00950846" w:rsidRPr="00B7449A" w:rsidRDefault="00950846" w:rsidP="00797188">
      <w:pPr>
        <w:jc w:val="both"/>
        <w:rPr>
          <w:rFonts w:ascii="Arial" w:hAnsi="Arial" w:cs="Arial"/>
          <w:sz w:val="24"/>
          <w:szCs w:val="24"/>
          <w:lang w:val="en-US"/>
        </w:rPr>
      </w:pPr>
      <w:r w:rsidRPr="00B7449A">
        <w:rPr>
          <w:rFonts w:ascii="Arial" w:hAnsi="Arial" w:cs="Arial"/>
          <w:b/>
          <w:sz w:val="24"/>
          <w:szCs w:val="24"/>
          <w:lang w:val="en-US"/>
        </w:rPr>
        <w:t>Abstract</w:t>
      </w:r>
    </w:p>
    <w:p w:rsidR="00B7449A" w:rsidRDefault="00950846" w:rsidP="00797188">
      <w:pPr>
        <w:jc w:val="both"/>
        <w:rPr>
          <w:rFonts w:ascii="Arial" w:hAnsi="Arial" w:cs="Arial"/>
          <w:sz w:val="24"/>
          <w:szCs w:val="24"/>
          <w:lang w:val="en-US"/>
        </w:rPr>
      </w:pPr>
      <w:r w:rsidRPr="00B7449A">
        <w:rPr>
          <w:rFonts w:ascii="Arial" w:hAnsi="Arial" w:cs="Arial"/>
          <w:b/>
          <w:sz w:val="24"/>
          <w:szCs w:val="24"/>
          <w:lang w:val="en-US"/>
        </w:rPr>
        <w:t>Introduction:</w:t>
      </w:r>
      <w:r w:rsidR="00667086" w:rsidRPr="00B7449A">
        <w:rPr>
          <w:rFonts w:ascii="Arial" w:hAnsi="Arial" w:cs="Arial"/>
          <w:b/>
          <w:sz w:val="24"/>
          <w:szCs w:val="24"/>
          <w:lang w:val="en-US"/>
        </w:rPr>
        <w:t xml:space="preserve"> </w:t>
      </w:r>
      <w:r w:rsidR="00FE5911" w:rsidRPr="00B7449A">
        <w:rPr>
          <w:rFonts w:ascii="Arial" w:hAnsi="Arial" w:cs="Arial"/>
          <w:sz w:val="24"/>
          <w:szCs w:val="24"/>
          <w:lang w:val="en-US"/>
        </w:rPr>
        <w:t xml:space="preserve">The World Health Organization recognizes infertility as the inability to achieve a clinical pregnancy after 12 months or more of unprotected sexual intercourse. </w:t>
      </w:r>
    </w:p>
    <w:p w:rsidR="00B7449A" w:rsidRDefault="00950846" w:rsidP="00797188">
      <w:pPr>
        <w:jc w:val="both"/>
        <w:rPr>
          <w:rFonts w:ascii="Arial" w:hAnsi="Arial" w:cs="Arial"/>
          <w:sz w:val="24"/>
          <w:szCs w:val="24"/>
          <w:lang w:val="en-US"/>
        </w:rPr>
      </w:pPr>
      <w:r w:rsidRPr="00B7449A">
        <w:rPr>
          <w:rFonts w:ascii="Arial" w:hAnsi="Arial" w:cs="Arial"/>
          <w:b/>
          <w:sz w:val="24"/>
          <w:szCs w:val="24"/>
          <w:lang w:val="en-US"/>
        </w:rPr>
        <w:t>Objective:</w:t>
      </w:r>
      <w:r w:rsidRPr="00B7449A">
        <w:rPr>
          <w:rFonts w:ascii="Arial" w:hAnsi="Arial" w:cs="Arial"/>
          <w:sz w:val="24"/>
          <w:szCs w:val="24"/>
          <w:lang w:val="en-US"/>
        </w:rPr>
        <w:t xml:space="preserve"> To characterize the pregnant women who were cared for in the low complexity </w:t>
      </w:r>
      <w:r w:rsidR="00161A17" w:rsidRPr="00B7449A">
        <w:rPr>
          <w:rFonts w:ascii="Arial" w:hAnsi="Arial" w:cs="Arial"/>
          <w:sz w:val="24"/>
          <w:szCs w:val="24"/>
          <w:lang w:val="en-US"/>
        </w:rPr>
        <w:t>provincial service in the 2019-2020 biennium.</w:t>
      </w:r>
      <w:r w:rsidR="00FC5178" w:rsidRPr="00B7449A">
        <w:rPr>
          <w:rFonts w:ascii="Arial" w:hAnsi="Arial" w:cs="Arial"/>
          <w:sz w:val="24"/>
          <w:szCs w:val="24"/>
          <w:lang w:val="en-US"/>
        </w:rPr>
        <w:t xml:space="preserve"> </w:t>
      </w:r>
    </w:p>
    <w:p w:rsidR="00B7449A" w:rsidRDefault="006D4214" w:rsidP="00797188">
      <w:pPr>
        <w:jc w:val="both"/>
        <w:rPr>
          <w:rFonts w:ascii="Arial" w:hAnsi="Arial" w:cs="Arial"/>
          <w:sz w:val="24"/>
          <w:szCs w:val="24"/>
          <w:lang w:val="en-US"/>
        </w:rPr>
      </w:pPr>
      <w:r w:rsidRPr="00B7449A">
        <w:rPr>
          <w:rFonts w:ascii="Arial" w:hAnsi="Arial" w:cs="Arial"/>
          <w:b/>
          <w:sz w:val="24"/>
          <w:szCs w:val="24"/>
          <w:lang w:val="en-US"/>
        </w:rPr>
        <w:t>Method</w:t>
      </w:r>
      <w:r w:rsidR="00B7449A">
        <w:rPr>
          <w:rFonts w:ascii="Arial" w:hAnsi="Arial" w:cs="Arial"/>
          <w:b/>
          <w:sz w:val="24"/>
          <w:szCs w:val="24"/>
          <w:lang w:val="en-US"/>
        </w:rPr>
        <w:t>s</w:t>
      </w:r>
      <w:r w:rsidRPr="00B7449A">
        <w:rPr>
          <w:rFonts w:ascii="Arial" w:hAnsi="Arial" w:cs="Arial"/>
          <w:b/>
          <w:sz w:val="24"/>
          <w:szCs w:val="24"/>
          <w:lang w:val="en-US"/>
        </w:rPr>
        <w:t>:</w:t>
      </w:r>
      <w:r w:rsidRPr="00B7449A">
        <w:rPr>
          <w:rFonts w:ascii="Arial" w:hAnsi="Arial" w:cs="Arial"/>
          <w:sz w:val="24"/>
          <w:szCs w:val="24"/>
          <w:lang w:val="en-US"/>
        </w:rPr>
        <w:t xml:space="preserve"> An observational, descriptive and cross-sectional study was carried out in the provincial low complexity assisted reproduction service </w:t>
      </w:r>
      <w:r w:rsidR="004A0BAE" w:rsidRPr="00B7449A">
        <w:rPr>
          <w:rFonts w:ascii="Arial" w:hAnsi="Arial" w:cs="Arial"/>
          <w:sz w:val="24"/>
          <w:szCs w:val="24"/>
          <w:lang w:val="en-US"/>
        </w:rPr>
        <w:t>of the Ana Betancourt de Mora of</w:t>
      </w:r>
      <w:r w:rsidRPr="00B7449A">
        <w:rPr>
          <w:rFonts w:ascii="Arial" w:hAnsi="Arial" w:cs="Arial"/>
          <w:sz w:val="24"/>
          <w:szCs w:val="24"/>
          <w:lang w:val="en-US"/>
        </w:rPr>
        <w:t xml:space="preserve"> Camaguey Gyneco-Obstetric Hospital during the 2019-2020. The universe was 192 couples who attended the service and achieved pregnancy, drawing a sample of 173 women, according to inclusion criteria. The variables studied included: Age, type and time of infertility, causal factor, associated male factor, studies carried out, therapy received, time spend in consultation.</w:t>
      </w:r>
      <w:r w:rsidR="00AD25B9" w:rsidRPr="00B7449A">
        <w:rPr>
          <w:rFonts w:ascii="Arial" w:hAnsi="Arial" w:cs="Arial"/>
          <w:sz w:val="24"/>
          <w:szCs w:val="24"/>
          <w:lang w:val="en-US"/>
        </w:rPr>
        <w:t xml:space="preserve"> To carry out the research, the approval of the subject in the Hospital's Scientific Committee and the bioethical principles contained in the Declaration of Helsinki were taken into account.</w:t>
      </w:r>
      <w:r w:rsidR="00FC5178" w:rsidRPr="00B7449A">
        <w:rPr>
          <w:rFonts w:ascii="Arial" w:hAnsi="Arial" w:cs="Arial"/>
          <w:sz w:val="24"/>
          <w:szCs w:val="24"/>
          <w:lang w:val="en-US"/>
        </w:rPr>
        <w:t xml:space="preserve"> </w:t>
      </w:r>
    </w:p>
    <w:p w:rsidR="00B7449A" w:rsidRDefault="00A0566C" w:rsidP="00797188">
      <w:pPr>
        <w:jc w:val="both"/>
        <w:rPr>
          <w:rFonts w:ascii="Arial" w:hAnsi="Arial" w:cs="Arial"/>
          <w:sz w:val="24"/>
          <w:szCs w:val="24"/>
          <w:lang w:val="en-US"/>
        </w:rPr>
      </w:pPr>
      <w:r w:rsidRPr="00B7449A">
        <w:rPr>
          <w:rFonts w:ascii="Arial" w:hAnsi="Arial" w:cs="Arial"/>
          <w:b/>
          <w:sz w:val="24"/>
          <w:szCs w:val="24"/>
          <w:lang w:val="en-US"/>
        </w:rPr>
        <w:t>Results:</w:t>
      </w:r>
      <w:r w:rsidRPr="00B7449A">
        <w:rPr>
          <w:rFonts w:ascii="Arial" w:hAnsi="Arial" w:cs="Arial"/>
          <w:sz w:val="24"/>
          <w:szCs w:val="24"/>
          <w:lang w:val="en-US"/>
        </w:rPr>
        <w:t xml:space="preserve"> The group of 25 to 29 years of age p</w:t>
      </w:r>
      <w:r w:rsidR="002079A3" w:rsidRPr="00B7449A">
        <w:rPr>
          <w:rFonts w:ascii="Arial" w:hAnsi="Arial" w:cs="Arial"/>
          <w:sz w:val="24"/>
          <w:szCs w:val="24"/>
          <w:lang w:val="en-US"/>
        </w:rPr>
        <w:t xml:space="preserve">redominated whit 18,5%. The most frequent infertility factor was cervical whith 32.9%. </w:t>
      </w:r>
      <w:r w:rsidRPr="00B7449A">
        <w:rPr>
          <w:rFonts w:ascii="Arial" w:hAnsi="Arial" w:cs="Arial"/>
          <w:sz w:val="24"/>
          <w:szCs w:val="24"/>
          <w:lang w:val="en-US"/>
        </w:rPr>
        <w:t>Follicular monitoring was carried out in 138 females (80,5%). Hysterosalpingography was used in 50% of the women. In 40,46%, controlled ovarian stimulation plus programmed intercourse were applied.</w:t>
      </w:r>
      <w:r w:rsidR="00FC5178" w:rsidRPr="00B7449A">
        <w:rPr>
          <w:rFonts w:ascii="Arial" w:hAnsi="Arial" w:cs="Arial"/>
          <w:sz w:val="24"/>
          <w:szCs w:val="24"/>
          <w:lang w:val="en-US"/>
        </w:rPr>
        <w:t xml:space="preserve"> </w:t>
      </w:r>
    </w:p>
    <w:p w:rsidR="00F87CEC" w:rsidRPr="00B7449A" w:rsidRDefault="00F87CEC" w:rsidP="00797188">
      <w:pPr>
        <w:jc w:val="both"/>
        <w:rPr>
          <w:rFonts w:ascii="Arial" w:hAnsi="Arial" w:cs="Arial"/>
          <w:sz w:val="24"/>
          <w:szCs w:val="24"/>
          <w:lang w:val="en-US"/>
        </w:rPr>
      </w:pPr>
      <w:r w:rsidRPr="00B7449A">
        <w:rPr>
          <w:rFonts w:ascii="Arial" w:hAnsi="Arial" w:cs="Arial"/>
          <w:b/>
          <w:sz w:val="24"/>
          <w:szCs w:val="24"/>
          <w:lang w:val="en-US"/>
        </w:rPr>
        <w:t>Conclusions:</w:t>
      </w:r>
      <w:r w:rsidRPr="00B7449A">
        <w:rPr>
          <w:rFonts w:ascii="Arial" w:hAnsi="Arial" w:cs="Arial"/>
          <w:sz w:val="24"/>
          <w:szCs w:val="24"/>
          <w:lang w:val="en-US"/>
        </w:rPr>
        <w:t xml:space="preserve"> Most of the couples achieved pregnancy in the first 2 years of care, of them, more than half with a history of 5 years or less of infertility.</w:t>
      </w:r>
    </w:p>
    <w:p w:rsidR="0063298A" w:rsidRPr="00B7449A" w:rsidRDefault="00B7449A" w:rsidP="00797188">
      <w:pPr>
        <w:jc w:val="both"/>
        <w:rPr>
          <w:rFonts w:ascii="Arial" w:hAnsi="Arial" w:cs="Arial"/>
          <w:sz w:val="24"/>
          <w:szCs w:val="24"/>
          <w:lang w:val="en-US"/>
        </w:rPr>
      </w:pPr>
      <w:r>
        <w:rPr>
          <w:rFonts w:ascii="Arial" w:hAnsi="Arial" w:cs="Arial"/>
          <w:b/>
          <w:sz w:val="24"/>
          <w:szCs w:val="24"/>
          <w:lang w:val="en-US"/>
        </w:rPr>
        <w:lastRenderedPageBreak/>
        <w:t>Key</w:t>
      </w:r>
      <w:r w:rsidR="00F87CEC" w:rsidRPr="00B7449A">
        <w:rPr>
          <w:rFonts w:ascii="Arial" w:hAnsi="Arial" w:cs="Arial"/>
          <w:b/>
          <w:sz w:val="24"/>
          <w:szCs w:val="24"/>
          <w:lang w:val="en-US"/>
        </w:rPr>
        <w:t>words:</w:t>
      </w:r>
      <w:r w:rsidR="00653279" w:rsidRPr="00B7449A">
        <w:rPr>
          <w:rFonts w:ascii="Arial" w:hAnsi="Arial" w:cs="Arial"/>
          <w:sz w:val="24"/>
          <w:szCs w:val="24"/>
          <w:lang w:val="en-US"/>
        </w:rPr>
        <w:t xml:space="preserve"> infertility</w:t>
      </w:r>
      <w:r w:rsidR="00F87CEC" w:rsidRPr="00B7449A">
        <w:rPr>
          <w:rFonts w:ascii="Arial" w:hAnsi="Arial" w:cs="Arial"/>
          <w:sz w:val="24"/>
          <w:szCs w:val="24"/>
          <w:lang w:val="en-US"/>
        </w:rPr>
        <w:t>, assisted reproduction, controlled ovarian stimulation.</w:t>
      </w:r>
    </w:p>
    <w:p w:rsidR="00B7449A" w:rsidRPr="00DF41D1" w:rsidRDefault="00B7449A" w:rsidP="00797188">
      <w:pPr>
        <w:jc w:val="both"/>
        <w:rPr>
          <w:rFonts w:ascii="Arial" w:hAnsi="Arial" w:cs="Arial"/>
          <w:b/>
          <w:sz w:val="24"/>
          <w:szCs w:val="24"/>
          <w:lang w:val="en-US"/>
        </w:rPr>
      </w:pPr>
    </w:p>
    <w:p w:rsidR="00D3519C" w:rsidRPr="008E035F" w:rsidRDefault="00EA278C" w:rsidP="00797188">
      <w:pPr>
        <w:jc w:val="both"/>
        <w:rPr>
          <w:rFonts w:ascii="Arial" w:hAnsi="Arial" w:cs="Arial"/>
          <w:sz w:val="24"/>
          <w:szCs w:val="24"/>
          <w:lang w:val="es-BO"/>
        </w:rPr>
      </w:pPr>
      <w:r>
        <w:rPr>
          <w:rFonts w:ascii="Arial" w:hAnsi="Arial" w:cs="Arial"/>
          <w:b/>
          <w:sz w:val="24"/>
          <w:szCs w:val="24"/>
          <w:lang w:val="es-BO"/>
        </w:rPr>
        <w:t>INTRODUCCIÓN</w:t>
      </w:r>
    </w:p>
    <w:p w:rsidR="00142176" w:rsidRPr="00180258" w:rsidRDefault="00142176" w:rsidP="00797188">
      <w:pPr>
        <w:jc w:val="both"/>
        <w:rPr>
          <w:rFonts w:ascii="Arial" w:hAnsi="Arial" w:cs="Arial"/>
          <w:sz w:val="24"/>
          <w:szCs w:val="24"/>
          <w:vertAlign w:val="superscript"/>
        </w:rPr>
      </w:pPr>
      <w:r w:rsidRPr="00180258">
        <w:rPr>
          <w:rFonts w:ascii="Arial" w:hAnsi="Arial" w:cs="Arial"/>
          <w:sz w:val="24"/>
          <w:szCs w:val="24"/>
          <w:lang w:val="es-BO"/>
        </w:rPr>
        <w:t>Tener descendencia desde el punto de vista sociocultural tiene variados significad</w:t>
      </w:r>
      <w:r w:rsidRPr="00180258">
        <w:rPr>
          <w:rFonts w:ascii="Arial" w:hAnsi="Arial" w:cs="Arial"/>
          <w:sz w:val="24"/>
          <w:szCs w:val="24"/>
        </w:rPr>
        <w:t>os los cuales dependen de las tradiciones, culturas, subculturas, relaciones sociales y familiares, pero para la mayoría de las personas tener un hi</w:t>
      </w:r>
      <w:r w:rsidR="00D84774" w:rsidRPr="00180258">
        <w:rPr>
          <w:rFonts w:ascii="Arial" w:hAnsi="Arial" w:cs="Arial"/>
          <w:sz w:val="24"/>
          <w:szCs w:val="24"/>
        </w:rPr>
        <w:t xml:space="preserve">jo es algo de gran importancia. </w:t>
      </w:r>
      <w:r w:rsidRPr="00180258">
        <w:rPr>
          <w:rFonts w:ascii="Arial" w:hAnsi="Arial" w:cs="Arial"/>
          <w:sz w:val="24"/>
          <w:szCs w:val="24"/>
        </w:rPr>
        <w:t xml:space="preserve">Una vez que se establece una pareja lo esperado socialmente es que se conviertan en padres. Sin </w:t>
      </w:r>
      <w:r w:rsidR="00032FFD" w:rsidRPr="00180258">
        <w:rPr>
          <w:rFonts w:ascii="Arial" w:hAnsi="Arial" w:cs="Arial"/>
          <w:sz w:val="24"/>
          <w:szCs w:val="24"/>
        </w:rPr>
        <w:t>embargo,</w:t>
      </w:r>
      <w:r w:rsidRPr="00180258">
        <w:rPr>
          <w:rFonts w:ascii="Arial" w:hAnsi="Arial" w:cs="Arial"/>
          <w:sz w:val="24"/>
          <w:szCs w:val="24"/>
        </w:rPr>
        <w:t xml:space="preserve"> cuando algún evento altera esta expectativa, la pareja se ve obligada a replantear sus necesidades, y por supuesto, a establecer otras prioridades que no lo eran hasta ese momento.</w:t>
      </w:r>
      <w:r w:rsidR="00F95DE2">
        <w:rPr>
          <w:rFonts w:ascii="Arial" w:hAnsi="Arial" w:cs="Arial"/>
          <w:sz w:val="24"/>
          <w:szCs w:val="24"/>
          <w:vertAlign w:val="superscript"/>
        </w:rPr>
        <w:t>(</w:t>
      </w:r>
      <w:r w:rsidRPr="00180258">
        <w:rPr>
          <w:rFonts w:ascii="Arial" w:hAnsi="Arial" w:cs="Arial"/>
          <w:sz w:val="24"/>
          <w:szCs w:val="24"/>
          <w:vertAlign w:val="superscript"/>
        </w:rPr>
        <w:t>1</w:t>
      </w:r>
      <w:r w:rsidR="001518EE" w:rsidRPr="00180258">
        <w:rPr>
          <w:rFonts w:ascii="Arial" w:hAnsi="Arial" w:cs="Arial"/>
          <w:sz w:val="24"/>
          <w:szCs w:val="24"/>
          <w:vertAlign w:val="superscript"/>
        </w:rPr>
        <w:t>,2</w:t>
      </w:r>
      <w:r w:rsidR="00F95DE2">
        <w:rPr>
          <w:rFonts w:ascii="Arial" w:hAnsi="Arial" w:cs="Arial"/>
          <w:sz w:val="24"/>
          <w:szCs w:val="24"/>
          <w:vertAlign w:val="superscript"/>
        </w:rPr>
        <w:t>)</w:t>
      </w:r>
    </w:p>
    <w:p w:rsidR="00D3519C" w:rsidRPr="00180258" w:rsidRDefault="00D3519C" w:rsidP="00797188">
      <w:pPr>
        <w:jc w:val="both"/>
        <w:rPr>
          <w:rFonts w:ascii="Arial" w:hAnsi="Arial" w:cs="Arial"/>
          <w:sz w:val="24"/>
          <w:szCs w:val="24"/>
          <w:vertAlign w:val="superscript"/>
        </w:rPr>
      </w:pPr>
      <w:r w:rsidRPr="00180258">
        <w:rPr>
          <w:rFonts w:ascii="Arial" w:hAnsi="Arial" w:cs="Arial"/>
          <w:sz w:val="24"/>
          <w:szCs w:val="24"/>
        </w:rPr>
        <w:t xml:space="preserve">En 2009 la </w:t>
      </w:r>
      <w:r w:rsidR="00642244" w:rsidRPr="00180258">
        <w:rPr>
          <w:rFonts w:ascii="Arial" w:hAnsi="Arial" w:cs="Arial"/>
          <w:sz w:val="24"/>
          <w:szCs w:val="24"/>
        </w:rPr>
        <w:t>Organización Mundial de la Salud(</w:t>
      </w:r>
      <w:r w:rsidRPr="00180258">
        <w:rPr>
          <w:rFonts w:ascii="Arial" w:hAnsi="Arial" w:cs="Arial"/>
          <w:sz w:val="24"/>
          <w:szCs w:val="24"/>
        </w:rPr>
        <w:t>OMS</w:t>
      </w:r>
      <w:r w:rsidR="00642244" w:rsidRPr="00180258">
        <w:rPr>
          <w:rFonts w:ascii="Arial" w:hAnsi="Arial" w:cs="Arial"/>
          <w:sz w:val="24"/>
          <w:szCs w:val="24"/>
        </w:rPr>
        <w:t>)</w:t>
      </w:r>
      <w:r w:rsidRPr="00180258">
        <w:rPr>
          <w:rFonts w:ascii="Arial" w:hAnsi="Arial" w:cs="Arial"/>
          <w:sz w:val="24"/>
          <w:szCs w:val="24"/>
        </w:rPr>
        <w:t xml:space="preserve">, junto con un conglomerado de organizaciones internacionales, reconoce a la </w:t>
      </w:r>
      <w:r w:rsidR="00642244" w:rsidRPr="00180258">
        <w:rPr>
          <w:rFonts w:ascii="Arial" w:hAnsi="Arial" w:cs="Arial"/>
          <w:sz w:val="24"/>
          <w:szCs w:val="24"/>
        </w:rPr>
        <w:t>i</w:t>
      </w:r>
      <w:r w:rsidRPr="00180258">
        <w:rPr>
          <w:rFonts w:ascii="Arial" w:hAnsi="Arial" w:cs="Arial"/>
          <w:sz w:val="24"/>
          <w:szCs w:val="24"/>
        </w:rPr>
        <w:t xml:space="preserve">nfertilidad como “una enfermedad del </w:t>
      </w:r>
      <w:r w:rsidR="00642244" w:rsidRPr="00180258">
        <w:rPr>
          <w:rFonts w:ascii="Arial" w:hAnsi="Arial" w:cs="Arial"/>
          <w:sz w:val="24"/>
          <w:szCs w:val="24"/>
        </w:rPr>
        <w:t>s</w:t>
      </w:r>
      <w:r w:rsidRPr="00180258">
        <w:rPr>
          <w:rFonts w:ascii="Arial" w:hAnsi="Arial" w:cs="Arial"/>
          <w:sz w:val="24"/>
          <w:szCs w:val="24"/>
        </w:rPr>
        <w:t xml:space="preserve">istema </w:t>
      </w:r>
      <w:r w:rsidR="00642244" w:rsidRPr="00180258">
        <w:rPr>
          <w:rFonts w:ascii="Arial" w:hAnsi="Arial" w:cs="Arial"/>
          <w:sz w:val="24"/>
          <w:szCs w:val="24"/>
        </w:rPr>
        <w:t>r</w:t>
      </w:r>
      <w:r w:rsidRPr="00180258">
        <w:rPr>
          <w:rFonts w:ascii="Arial" w:hAnsi="Arial" w:cs="Arial"/>
          <w:sz w:val="24"/>
          <w:szCs w:val="24"/>
        </w:rPr>
        <w:t>eproductivo definida como la incapacidad de lograr un embarazo clínico después de 12 meses o más de relaciones sexuales no protegidas”.</w:t>
      </w:r>
      <w:r w:rsidR="00F95DE2">
        <w:rPr>
          <w:rFonts w:ascii="Arial" w:hAnsi="Arial" w:cs="Arial"/>
          <w:sz w:val="24"/>
          <w:szCs w:val="24"/>
          <w:vertAlign w:val="superscript"/>
        </w:rPr>
        <w:t>(</w:t>
      </w:r>
      <w:r w:rsidRPr="00180258">
        <w:rPr>
          <w:rFonts w:ascii="Arial" w:hAnsi="Arial" w:cs="Arial"/>
          <w:sz w:val="24"/>
          <w:szCs w:val="24"/>
          <w:vertAlign w:val="superscript"/>
        </w:rPr>
        <w:t>1</w:t>
      </w:r>
      <w:r w:rsidR="001518EE" w:rsidRPr="00180258">
        <w:rPr>
          <w:rFonts w:ascii="Arial" w:hAnsi="Arial" w:cs="Arial"/>
          <w:sz w:val="24"/>
          <w:szCs w:val="24"/>
          <w:vertAlign w:val="superscript"/>
        </w:rPr>
        <w:t>,2</w:t>
      </w:r>
      <w:r w:rsidR="00F95DE2">
        <w:rPr>
          <w:rFonts w:ascii="Arial" w:hAnsi="Arial" w:cs="Arial"/>
          <w:sz w:val="24"/>
          <w:szCs w:val="24"/>
          <w:vertAlign w:val="superscript"/>
        </w:rPr>
        <w:t>)</w:t>
      </w:r>
    </w:p>
    <w:p w:rsidR="009D370B" w:rsidRPr="00180258" w:rsidRDefault="00D3519C" w:rsidP="00797188">
      <w:pPr>
        <w:jc w:val="both"/>
        <w:rPr>
          <w:rFonts w:ascii="Arial" w:hAnsi="Arial" w:cs="Arial"/>
          <w:sz w:val="24"/>
          <w:szCs w:val="24"/>
          <w:vertAlign w:val="superscript"/>
        </w:rPr>
      </w:pPr>
      <w:r w:rsidRPr="00180258">
        <w:rPr>
          <w:rFonts w:ascii="Arial" w:hAnsi="Arial" w:cs="Arial"/>
          <w:sz w:val="24"/>
          <w:szCs w:val="24"/>
        </w:rPr>
        <w:t>La infertilidad es un problema global. Se estima que afecta entre 60 y 80 millones de mujeres y hombres en todo el mundo, pero su mayor incidencia se encuentra en lo</w:t>
      </w:r>
      <w:r w:rsidR="00F95DE2">
        <w:rPr>
          <w:rFonts w:ascii="Arial" w:hAnsi="Arial" w:cs="Arial"/>
          <w:sz w:val="24"/>
          <w:szCs w:val="24"/>
        </w:rPr>
        <w:t>s países en vías de desarrollo.</w:t>
      </w:r>
      <w:r w:rsidR="00F95DE2">
        <w:rPr>
          <w:rFonts w:ascii="Arial" w:hAnsi="Arial" w:cs="Arial"/>
          <w:sz w:val="24"/>
          <w:szCs w:val="24"/>
          <w:vertAlign w:val="superscript"/>
        </w:rPr>
        <w:t>(</w:t>
      </w:r>
      <w:r w:rsidR="00142176" w:rsidRPr="00180258">
        <w:rPr>
          <w:rFonts w:ascii="Arial" w:hAnsi="Arial" w:cs="Arial"/>
          <w:sz w:val="24"/>
          <w:szCs w:val="24"/>
          <w:vertAlign w:val="superscript"/>
        </w:rPr>
        <w:t>1</w:t>
      </w:r>
      <w:r w:rsidR="00F95DE2">
        <w:rPr>
          <w:rFonts w:ascii="Arial" w:hAnsi="Arial" w:cs="Arial"/>
          <w:sz w:val="24"/>
          <w:szCs w:val="24"/>
          <w:vertAlign w:val="superscript"/>
        </w:rPr>
        <w:t>,2,</w:t>
      </w:r>
      <w:r w:rsidR="009B1F41" w:rsidRPr="00180258">
        <w:rPr>
          <w:rFonts w:ascii="Arial" w:hAnsi="Arial" w:cs="Arial"/>
          <w:sz w:val="24"/>
          <w:szCs w:val="24"/>
          <w:vertAlign w:val="superscript"/>
        </w:rPr>
        <w:t>3</w:t>
      </w:r>
      <w:r w:rsidR="00F95DE2">
        <w:rPr>
          <w:rFonts w:ascii="Arial" w:hAnsi="Arial" w:cs="Arial"/>
          <w:sz w:val="24"/>
          <w:szCs w:val="24"/>
          <w:vertAlign w:val="superscript"/>
        </w:rPr>
        <w:t>)</w:t>
      </w:r>
    </w:p>
    <w:p w:rsidR="00D3519C" w:rsidRPr="00180258" w:rsidRDefault="00D3519C" w:rsidP="00797188">
      <w:pPr>
        <w:jc w:val="both"/>
        <w:rPr>
          <w:rFonts w:ascii="Arial" w:hAnsi="Arial" w:cs="Arial"/>
          <w:sz w:val="24"/>
          <w:szCs w:val="24"/>
          <w:vertAlign w:val="superscript"/>
        </w:rPr>
      </w:pPr>
      <w:r w:rsidRPr="00180258">
        <w:rPr>
          <w:rFonts w:ascii="Arial" w:hAnsi="Arial" w:cs="Arial"/>
          <w:sz w:val="24"/>
          <w:szCs w:val="24"/>
        </w:rPr>
        <w:t xml:space="preserve">Según los estudios </w:t>
      </w:r>
      <w:r w:rsidR="00032FFD" w:rsidRPr="00180258">
        <w:rPr>
          <w:rFonts w:ascii="Arial" w:hAnsi="Arial" w:cs="Arial"/>
          <w:sz w:val="24"/>
          <w:szCs w:val="24"/>
        </w:rPr>
        <w:t xml:space="preserve">realizados en Cuba, la </w:t>
      </w:r>
      <w:r w:rsidR="00E674EA" w:rsidRPr="00180258">
        <w:rPr>
          <w:rFonts w:ascii="Arial" w:hAnsi="Arial" w:cs="Arial"/>
          <w:sz w:val="24"/>
          <w:szCs w:val="24"/>
        </w:rPr>
        <w:t>prevalencia de infertilidad</w:t>
      </w:r>
      <w:r w:rsidR="00D03786">
        <w:rPr>
          <w:rFonts w:ascii="Arial" w:hAnsi="Arial" w:cs="Arial"/>
          <w:sz w:val="24"/>
          <w:szCs w:val="24"/>
        </w:rPr>
        <w:t xml:space="preserve"> </w:t>
      </w:r>
      <w:r w:rsidR="00E674EA" w:rsidRPr="00180258">
        <w:rPr>
          <w:rFonts w:ascii="Arial" w:hAnsi="Arial" w:cs="Arial"/>
          <w:sz w:val="24"/>
          <w:szCs w:val="24"/>
        </w:rPr>
        <w:t>oscila entre 12</w:t>
      </w:r>
      <w:r w:rsidRPr="00180258">
        <w:rPr>
          <w:rFonts w:ascii="Arial" w:hAnsi="Arial" w:cs="Arial"/>
          <w:sz w:val="24"/>
          <w:szCs w:val="24"/>
        </w:rPr>
        <w:t xml:space="preserve"> y 14%.</w:t>
      </w:r>
      <w:r w:rsidR="00D410D2">
        <w:rPr>
          <w:rFonts w:ascii="Arial" w:hAnsi="Arial" w:cs="Arial"/>
          <w:sz w:val="24"/>
          <w:szCs w:val="24"/>
        </w:rPr>
        <w:t xml:space="preserve"> </w:t>
      </w:r>
      <w:r w:rsidRPr="00180258">
        <w:rPr>
          <w:rFonts w:ascii="Arial" w:hAnsi="Arial" w:cs="Arial"/>
          <w:sz w:val="24"/>
          <w:szCs w:val="24"/>
        </w:rPr>
        <w:t>De acuerdo a cálculos conservadores, cerca de 200 mil parejas cubanas son hoy infértiles.</w:t>
      </w:r>
      <w:r w:rsidR="00D03786">
        <w:rPr>
          <w:rFonts w:ascii="Arial" w:hAnsi="Arial" w:cs="Arial"/>
          <w:sz w:val="24"/>
          <w:szCs w:val="24"/>
        </w:rPr>
        <w:t xml:space="preserve"> </w:t>
      </w:r>
      <w:r w:rsidRPr="00180258">
        <w:rPr>
          <w:rFonts w:ascii="Arial" w:hAnsi="Arial" w:cs="Arial"/>
          <w:sz w:val="24"/>
          <w:szCs w:val="24"/>
        </w:rPr>
        <w:t xml:space="preserve">En comparación con el resto del mundo, la cifra cubana no resalta demasiado, pero pudiera adquirir connotaciones diferentes si se tiene en cuenta </w:t>
      </w:r>
      <w:r w:rsidR="00E674EA" w:rsidRPr="00180258">
        <w:rPr>
          <w:rFonts w:ascii="Arial" w:hAnsi="Arial" w:cs="Arial"/>
          <w:sz w:val="24"/>
          <w:szCs w:val="24"/>
        </w:rPr>
        <w:t>que,</w:t>
      </w:r>
      <w:r w:rsidRPr="00180258">
        <w:rPr>
          <w:rFonts w:ascii="Arial" w:hAnsi="Arial" w:cs="Arial"/>
          <w:sz w:val="24"/>
          <w:szCs w:val="24"/>
        </w:rPr>
        <w:t xml:space="preserve"> en </w:t>
      </w:r>
      <w:r w:rsidR="00F00C5D" w:rsidRPr="00180258">
        <w:rPr>
          <w:rFonts w:ascii="Arial" w:hAnsi="Arial" w:cs="Arial"/>
          <w:sz w:val="24"/>
          <w:szCs w:val="24"/>
        </w:rPr>
        <w:t>la mayor de Las Antillas</w:t>
      </w:r>
      <w:r w:rsidRPr="00180258">
        <w:rPr>
          <w:rFonts w:ascii="Arial" w:hAnsi="Arial" w:cs="Arial"/>
          <w:sz w:val="24"/>
          <w:szCs w:val="24"/>
        </w:rPr>
        <w:t>, desde hace 37 años el nivel de reemplazo poblacional es inferior a una hija por mujer y la edad de sus habitantes la convierte en uno de los países más envejec</w:t>
      </w:r>
      <w:r w:rsidR="004D2AF3">
        <w:rPr>
          <w:rFonts w:ascii="Arial" w:hAnsi="Arial" w:cs="Arial"/>
          <w:sz w:val="24"/>
          <w:szCs w:val="24"/>
        </w:rPr>
        <w:t>idos del continente americano.</w:t>
      </w:r>
      <w:r w:rsidR="004D2AF3">
        <w:rPr>
          <w:rFonts w:ascii="Arial" w:hAnsi="Arial" w:cs="Arial"/>
          <w:sz w:val="24"/>
          <w:szCs w:val="24"/>
          <w:vertAlign w:val="superscript"/>
        </w:rPr>
        <w:t>(</w:t>
      </w:r>
      <w:r w:rsidR="001518EE" w:rsidRPr="00180258">
        <w:rPr>
          <w:rFonts w:ascii="Arial" w:hAnsi="Arial" w:cs="Arial"/>
          <w:sz w:val="24"/>
          <w:szCs w:val="24"/>
          <w:vertAlign w:val="superscript"/>
        </w:rPr>
        <w:t>1,4</w:t>
      </w:r>
      <w:r w:rsidR="009B1F41" w:rsidRPr="00180258">
        <w:rPr>
          <w:rFonts w:ascii="Arial" w:hAnsi="Arial" w:cs="Arial"/>
          <w:sz w:val="24"/>
          <w:szCs w:val="24"/>
          <w:vertAlign w:val="superscript"/>
        </w:rPr>
        <w:t>,5</w:t>
      </w:r>
      <w:r w:rsidR="004D2AF3">
        <w:rPr>
          <w:rFonts w:ascii="Arial" w:hAnsi="Arial" w:cs="Arial"/>
          <w:sz w:val="24"/>
          <w:szCs w:val="24"/>
          <w:vertAlign w:val="superscript"/>
        </w:rPr>
        <w:t>)</w:t>
      </w:r>
    </w:p>
    <w:p w:rsidR="004E2782" w:rsidRPr="00180258" w:rsidRDefault="00F00C5D" w:rsidP="00797188">
      <w:pPr>
        <w:jc w:val="both"/>
        <w:rPr>
          <w:rFonts w:ascii="Arial" w:hAnsi="Arial" w:cs="Arial"/>
          <w:sz w:val="24"/>
          <w:szCs w:val="24"/>
          <w:vertAlign w:val="superscript"/>
        </w:rPr>
      </w:pPr>
      <w:r w:rsidRPr="00180258">
        <w:rPr>
          <w:rFonts w:ascii="Arial" w:hAnsi="Arial" w:cs="Arial"/>
          <w:sz w:val="24"/>
          <w:szCs w:val="24"/>
        </w:rPr>
        <w:t>Son varias las causas de infertilidad y dependen de cada población. Pero, de manera general, podemos afirmar que el 40% de las causas son de origen femenino, el 40% de origen masculino y en un 10% la pareja comparte la causa.  Aproximadamente, existe un 10% de causas no explicadas.</w:t>
      </w:r>
      <w:r w:rsidR="004D2AF3">
        <w:rPr>
          <w:rFonts w:ascii="Arial" w:hAnsi="Arial" w:cs="Arial"/>
          <w:sz w:val="24"/>
          <w:szCs w:val="24"/>
          <w:vertAlign w:val="superscript"/>
        </w:rPr>
        <w:t>(</w:t>
      </w:r>
      <w:r w:rsidR="00832E53" w:rsidRPr="00180258">
        <w:rPr>
          <w:rFonts w:ascii="Arial" w:hAnsi="Arial" w:cs="Arial"/>
          <w:sz w:val="24"/>
          <w:szCs w:val="24"/>
          <w:vertAlign w:val="superscript"/>
        </w:rPr>
        <w:t>6,7</w:t>
      </w:r>
      <w:r w:rsidR="004D2AF3">
        <w:rPr>
          <w:rFonts w:ascii="Arial" w:hAnsi="Arial" w:cs="Arial"/>
          <w:sz w:val="24"/>
          <w:szCs w:val="24"/>
          <w:vertAlign w:val="superscript"/>
        </w:rPr>
        <w:t>)</w:t>
      </w:r>
      <w:r w:rsidRPr="00180258">
        <w:rPr>
          <w:rFonts w:ascii="Arial" w:hAnsi="Arial" w:cs="Arial"/>
          <w:sz w:val="24"/>
          <w:szCs w:val="24"/>
        </w:rPr>
        <w:t>Las enfermedades identificadas con mayor frecuencia en la mujer son trastornos de ovulación en 40%, con particular importancia en este rubro de la edad, la cual tiende a seguir aumentando por la postergación de la fecha del primer embarazo; la patología pélvica y de las trompas en 40%, inexplicable en 10% y problemas poco frecuentes como anomalías anatómicas o enfermedades tiroideas en 10%.</w:t>
      </w:r>
      <w:r w:rsidR="004D2AF3">
        <w:rPr>
          <w:rFonts w:ascii="Arial" w:hAnsi="Arial" w:cs="Arial"/>
          <w:sz w:val="24"/>
          <w:szCs w:val="24"/>
          <w:vertAlign w:val="superscript"/>
        </w:rPr>
        <w:t>(</w:t>
      </w:r>
      <w:r w:rsidR="00832E53" w:rsidRPr="00180258">
        <w:rPr>
          <w:rFonts w:ascii="Arial" w:hAnsi="Arial" w:cs="Arial"/>
          <w:sz w:val="24"/>
          <w:szCs w:val="24"/>
          <w:vertAlign w:val="superscript"/>
        </w:rPr>
        <w:t>6,7</w:t>
      </w:r>
      <w:r w:rsidR="004D2AF3">
        <w:rPr>
          <w:rFonts w:ascii="Arial" w:hAnsi="Arial" w:cs="Arial"/>
          <w:sz w:val="24"/>
          <w:szCs w:val="24"/>
          <w:vertAlign w:val="superscript"/>
        </w:rPr>
        <w:t>)</w:t>
      </w:r>
    </w:p>
    <w:p w:rsidR="00F00C5D" w:rsidRPr="00180258" w:rsidRDefault="00E674EA" w:rsidP="00797188">
      <w:pPr>
        <w:jc w:val="both"/>
        <w:rPr>
          <w:rFonts w:ascii="Arial" w:hAnsi="Arial" w:cs="Arial"/>
          <w:sz w:val="24"/>
          <w:szCs w:val="24"/>
          <w:vertAlign w:val="superscript"/>
        </w:rPr>
      </w:pPr>
      <w:r w:rsidRPr="00180258">
        <w:rPr>
          <w:rFonts w:ascii="Arial" w:hAnsi="Arial" w:cs="Arial"/>
          <w:sz w:val="24"/>
          <w:szCs w:val="24"/>
        </w:rPr>
        <w:t>Cuba ha</w:t>
      </w:r>
      <w:r w:rsidR="00F00C5D" w:rsidRPr="00180258">
        <w:rPr>
          <w:rFonts w:ascii="Arial" w:hAnsi="Arial" w:cs="Arial"/>
          <w:sz w:val="24"/>
          <w:szCs w:val="24"/>
        </w:rPr>
        <w:t xml:space="preserve"> trazado estrategias de trabajo para brindar atención diferenciada a las parejas que presenten alteraciones de la reproducción y así contribuir a minimizar esta seria problemática. Por lo antes expuesto se realizó esta investigación con el </w:t>
      </w:r>
      <w:r w:rsidR="00F00C5D" w:rsidRPr="00180258">
        <w:rPr>
          <w:rFonts w:ascii="Arial" w:hAnsi="Arial" w:cs="Arial"/>
          <w:sz w:val="24"/>
          <w:szCs w:val="24"/>
        </w:rPr>
        <w:lastRenderedPageBreak/>
        <w:t>objetivo de car</w:t>
      </w:r>
      <w:r w:rsidR="00924746" w:rsidRPr="00180258">
        <w:rPr>
          <w:rFonts w:ascii="Arial" w:hAnsi="Arial" w:cs="Arial"/>
          <w:sz w:val="24"/>
          <w:szCs w:val="24"/>
        </w:rPr>
        <w:t>acterizar las gestantes</w:t>
      </w:r>
      <w:r w:rsidR="00F00C5D" w:rsidRPr="00180258">
        <w:rPr>
          <w:rFonts w:ascii="Arial" w:hAnsi="Arial" w:cs="Arial"/>
          <w:sz w:val="24"/>
          <w:szCs w:val="24"/>
        </w:rPr>
        <w:t xml:space="preserve"> que recibieron atención en el Servicio Provincial de Baja </w:t>
      </w:r>
      <w:r w:rsidR="00924746" w:rsidRPr="00180258">
        <w:rPr>
          <w:rFonts w:ascii="Arial" w:hAnsi="Arial" w:cs="Arial"/>
          <w:sz w:val="24"/>
          <w:szCs w:val="24"/>
        </w:rPr>
        <w:t>Complejidad</w:t>
      </w:r>
      <w:r w:rsidR="00F00C5D" w:rsidRPr="00180258">
        <w:rPr>
          <w:rFonts w:ascii="Arial" w:hAnsi="Arial" w:cs="Arial"/>
          <w:sz w:val="24"/>
          <w:szCs w:val="24"/>
        </w:rPr>
        <w:t xml:space="preserve"> en el </w:t>
      </w:r>
      <w:r w:rsidR="00F01ABA" w:rsidRPr="00180258">
        <w:rPr>
          <w:rFonts w:ascii="Arial" w:hAnsi="Arial" w:cs="Arial"/>
          <w:sz w:val="24"/>
          <w:szCs w:val="24"/>
        </w:rPr>
        <w:t>bienio 2019-2020</w:t>
      </w:r>
      <w:r w:rsidR="00F00C5D" w:rsidRPr="00180258">
        <w:rPr>
          <w:rFonts w:ascii="Arial" w:hAnsi="Arial" w:cs="Arial"/>
          <w:sz w:val="24"/>
          <w:szCs w:val="24"/>
        </w:rPr>
        <w:t>.</w:t>
      </w:r>
    </w:p>
    <w:p w:rsidR="00640809" w:rsidRDefault="00640809" w:rsidP="00797188">
      <w:pPr>
        <w:jc w:val="both"/>
        <w:rPr>
          <w:rFonts w:ascii="Arial" w:hAnsi="Arial" w:cs="Arial"/>
          <w:b/>
          <w:sz w:val="24"/>
          <w:szCs w:val="24"/>
        </w:rPr>
      </w:pPr>
    </w:p>
    <w:p w:rsidR="00A43994" w:rsidRPr="00180258" w:rsidRDefault="00EA278C" w:rsidP="00797188">
      <w:pPr>
        <w:jc w:val="both"/>
        <w:rPr>
          <w:rFonts w:ascii="Arial" w:hAnsi="Arial" w:cs="Arial"/>
          <w:b/>
          <w:sz w:val="24"/>
          <w:szCs w:val="24"/>
        </w:rPr>
      </w:pPr>
      <w:r>
        <w:rPr>
          <w:rFonts w:ascii="Arial" w:hAnsi="Arial" w:cs="Arial"/>
          <w:b/>
          <w:sz w:val="24"/>
          <w:szCs w:val="24"/>
        </w:rPr>
        <w:t>MÉTODO</w:t>
      </w:r>
      <w:r w:rsidR="00B7449A">
        <w:rPr>
          <w:rFonts w:ascii="Arial" w:hAnsi="Arial" w:cs="Arial"/>
          <w:b/>
          <w:sz w:val="24"/>
          <w:szCs w:val="24"/>
        </w:rPr>
        <w:t>S</w:t>
      </w:r>
    </w:p>
    <w:p w:rsidR="00DA32F5" w:rsidRPr="00180258" w:rsidRDefault="00A43994" w:rsidP="00797188">
      <w:pPr>
        <w:jc w:val="both"/>
        <w:rPr>
          <w:rFonts w:ascii="Arial" w:hAnsi="Arial" w:cs="Arial"/>
          <w:sz w:val="24"/>
          <w:szCs w:val="24"/>
        </w:rPr>
      </w:pPr>
      <w:r w:rsidRPr="00180258">
        <w:rPr>
          <w:rFonts w:ascii="Arial" w:hAnsi="Arial" w:cs="Arial"/>
          <w:sz w:val="24"/>
          <w:szCs w:val="24"/>
        </w:rPr>
        <w:t>Se realizó un estudio observacional</w:t>
      </w:r>
      <w:r w:rsidR="00533C14" w:rsidRPr="00180258">
        <w:rPr>
          <w:rFonts w:ascii="Arial" w:hAnsi="Arial" w:cs="Arial"/>
          <w:sz w:val="24"/>
          <w:szCs w:val="24"/>
        </w:rPr>
        <w:t>,</w:t>
      </w:r>
      <w:r w:rsidRPr="00180258">
        <w:rPr>
          <w:rFonts w:ascii="Arial" w:hAnsi="Arial" w:cs="Arial"/>
          <w:sz w:val="24"/>
          <w:szCs w:val="24"/>
        </w:rPr>
        <w:t xml:space="preserve"> descriptivo</w:t>
      </w:r>
      <w:r w:rsidR="00160769">
        <w:rPr>
          <w:rFonts w:ascii="Arial" w:hAnsi="Arial" w:cs="Arial"/>
          <w:sz w:val="24"/>
          <w:szCs w:val="24"/>
        </w:rPr>
        <w:t xml:space="preserve"> </w:t>
      </w:r>
      <w:r w:rsidR="00E674EA" w:rsidRPr="00180258">
        <w:rPr>
          <w:rFonts w:ascii="Arial" w:hAnsi="Arial" w:cs="Arial"/>
          <w:sz w:val="24"/>
          <w:szCs w:val="24"/>
        </w:rPr>
        <w:t>y transversal</w:t>
      </w:r>
      <w:r w:rsidR="00160769">
        <w:rPr>
          <w:rFonts w:ascii="Arial" w:hAnsi="Arial" w:cs="Arial"/>
          <w:sz w:val="24"/>
          <w:szCs w:val="24"/>
        </w:rPr>
        <w:t xml:space="preserve"> </w:t>
      </w:r>
      <w:r w:rsidR="00FA0040" w:rsidRPr="00180258">
        <w:rPr>
          <w:rFonts w:ascii="Arial" w:hAnsi="Arial" w:cs="Arial"/>
          <w:sz w:val="24"/>
          <w:szCs w:val="24"/>
        </w:rPr>
        <w:t xml:space="preserve">para caracterizar </w:t>
      </w:r>
      <w:r w:rsidR="007F318B" w:rsidRPr="00180258">
        <w:rPr>
          <w:rFonts w:ascii="Arial" w:hAnsi="Arial" w:cs="Arial"/>
          <w:sz w:val="24"/>
          <w:szCs w:val="24"/>
        </w:rPr>
        <w:t>las parejas</w:t>
      </w:r>
      <w:r w:rsidR="00FA0040" w:rsidRPr="00180258">
        <w:rPr>
          <w:rFonts w:ascii="Arial" w:hAnsi="Arial" w:cs="Arial"/>
          <w:sz w:val="24"/>
          <w:szCs w:val="24"/>
        </w:rPr>
        <w:t xml:space="preserve"> que recibieron atención </w:t>
      </w:r>
      <w:r w:rsidR="00D43D06" w:rsidRPr="00180258">
        <w:rPr>
          <w:rFonts w:ascii="Arial" w:hAnsi="Arial" w:cs="Arial"/>
          <w:sz w:val="24"/>
          <w:szCs w:val="24"/>
        </w:rPr>
        <w:t xml:space="preserve">y lograron el embarazo, </w:t>
      </w:r>
      <w:r w:rsidRPr="00180258">
        <w:rPr>
          <w:rFonts w:ascii="Arial" w:hAnsi="Arial" w:cs="Arial"/>
          <w:sz w:val="24"/>
          <w:szCs w:val="24"/>
        </w:rPr>
        <w:t>en el Servicio Provincial de Baja Complejidad de</w:t>
      </w:r>
      <w:r w:rsidR="00066512" w:rsidRPr="00180258">
        <w:rPr>
          <w:rFonts w:ascii="Arial" w:hAnsi="Arial" w:cs="Arial"/>
          <w:sz w:val="24"/>
          <w:szCs w:val="24"/>
        </w:rPr>
        <w:t xml:space="preserve">l Hospital </w:t>
      </w:r>
      <w:r w:rsidR="007B6434" w:rsidRPr="00180258">
        <w:rPr>
          <w:rFonts w:ascii="Arial" w:hAnsi="Arial" w:cs="Arial"/>
          <w:sz w:val="24"/>
          <w:szCs w:val="24"/>
        </w:rPr>
        <w:t>Ginecobstétrico</w:t>
      </w:r>
      <w:r w:rsidR="00D43D06" w:rsidRPr="00180258">
        <w:rPr>
          <w:rFonts w:ascii="Arial" w:hAnsi="Arial" w:cs="Arial"/>
          <w:sz w:val="24"/>
          <w:szCs w:val="24"/>
        </w:rPr>
        <w:t xml:space="preserve"> Docente</w:t>
      </w:r>
      <w:r w:rsidRPr="00180258">
        <w:rPr>
          <w:rFonts w:ascii="Arial" w:hAnsi="Arial" w:cs="Arial"/>
          <w:sz w:val="24"/>
          <w:szCs w:val="24"/>
        </w:rPr>
        <w:t xml:space="preserve"> Ana </w:t>
      </w:r>
      <w:r w:rsidR="00533C14" w:rsidRPr="00180258">
        <w:rPr>
          <w:rFonts w:ascii="Arial" w:hAnsi="Arial" w:cs="Arial"/>
          <w:sz w:val="24"/>
          <w:szCs w:val="24"/>
        </w:rPr>
        <w:t>Betancourt de Mora de Camagüey</w:t>
      </w:r>
      <w:r w:rsidR="00160769">
        <w:rPr>
          <w:rFonts w:ascii="Arial" w:hAnsi="Arial" w:cs="Arial"/>
          <w:sz w:val="24"/>
          <w:szCs w:val="24"/>
        </w:rPr>
        <w:t xml:space="preserve"> </w:t>
      </w:r>
      <w:r w:rsidR="00653E1E" w:rsidRPr="00180258">
        <w:rPr>
          <w:rFonts w:ascii="Arial" w:hAnsi="Arial" w:cs="Arial"/>
          <w:sz w:val="24"/>
          <w:szCs w:val="24"/>
        </w:rPr>
        <w:t>en el periodo</w:t>
      </w:r>
      <w:r w:rsidR="00667086">
        <w:rPr>
          <w:rFonts w:ascii="Arial" w:hAnsi="Arial" w:cs="Arial"/>
          <w:sz w:val="24"/>
          <w:szCs w:val="24"/>
        </w:rPr>
        <w:t xml:space="preserve"> </w:t>
      </w:r>
      <w:r w:rsidR="008C0910" w:rsidRPr="00180258">
        <w:rPr>
          <w:rFonts w:ascii="Arial" w:hAnsi="Arial" w:cs="Arial"/>
          <w:sz w:val="24"/>
          <w:szCs w:val="24"/>
        </w:rPr>
        <w:t>2019-2020</w:t>
      </w:r>
      <w:r w:rsidRPr="00180258">
        <w:rPr>
          <w:rFonts w:ascii="Arial" w:hAnsi="Arial" w:cs="Arial"/>
          <w:sz w:val="24"/>
          <w:szCs w:val="24"/>
        </w:rPr>
        <w:t>.</w:t>
      </w:r>
    </w:p>
    <w:p w:rsidR="00CF5FF9" w:rsidRPr="00180258" w:rsidRDefault="00A43994" w:rsidP="00797188">
      <w:pPr>
        <w:jc w:val="both"/>
        <w:rPr>
          <w:rFonts w:ascii="Arial" w:hAnsi="Arial" w:cs="Arial"/>
          <w:sz w:val="24"/>
          <w:szCs w:val="24"/>
        </w:rPr>
      </w:pPr>
      <w:r w:rsidRPr="00180258">
        <w:rPr>
          <w:rFonts w:ascii="Arial" w:hAnsi="Arial" w:cs="Arial"/>
          <w:sz w:val="24"/>
          <w:szCs w:val="24"/>
        </w:rPr>
        <w:t>El universo estuvo constituido por 1</w:t>
      </w:r>
      <w:r w:rsidR="00533C14" w:rsidRPr="00180258">
        <w:rPr>
          <w:rFonts w:ascii="Arial" w:hAnsi="Arial" w:cs="Arial"/>
          <w:sz w:val="24"/>
          <w:szCs w:val="24"/>
        </w:rPr>
        <w:t>92</w:t>
      </w:r>
      <w:r w:rsidRPr="00180258">
        <w:rPr>
          <w:rFonts w:ascii="Arial" w:hAnsi="Arial" w:cs="Arial"/>
          <w:sz w:val="24"/>
          <w:szCs w:val="24"/>
        </w:rPr>
        <w:t xml:space="preserve"> pacientes </w:t>
      </w:r>
      <w:r w:rsidR="00533C14" w:rsidRPr="00180258">
        <w:rPr>
          <w:rFonts w:ascii="Arial" w:hAnsi="Arial" w:cs="Arial"/>
          <w:sz w:val="24"/>
          <w:szCs w:val="24"/>
        </w:rPr>
        <w:t>que acudieron al Servicio de Baja Complejidad y</w:t>
      </w:r>
      <w:r w:rsidR="006C409E" w:rsidRPr="00180258">
        <w:rPr>
          <w:rFonts w:ascii="Arial" w:hAnsi="Arial" w:cs="Arial"/>
          <w:sz w:val="24"/>
          <w:szCs w:val="24"/>
        </w:rPr>
        <w:t xml:space="preserve"> lograron gestación.</w:t>
      </w:r>
      <w:r w:rsidR="00160769">
        <w:rPr>
          <w:rFonts w:ascii="Arial" w:hAnsi="Arial" w:cs="Arial"/>
          <w:sz w:val="24"/>
          <w:szCs w:val="24"/>
        </w:rPr>
        <w:t xml:space="preserve"> </w:t>
      </w:r>
      <w:r w:rsidR="006C409E" w:rsidRPr="00180258">
        <w:rPr>
          <w:rFonts w:ascii="Arial" w:hAnsi="Arial" w:cs="Arial"/>
          <w:sz w:val="24"/>
          <w:szCs w:val="24"/>
        </w:rPr>
        <w:t>S</w:t>
      </w:r>
      <w:r w:rsidR="00533C14" w:rsidRPr="00180258">
        <w:rPr>
          <w:rFonts w:ascii="Arial" w:hAnsi="Arial" w:cs="Arial"/>
          <w:sz w:val="24"/>
          <w:szCs w:val="24"/>
        </w:rPr>
        <w:t xml:space="preserve">e extrajo una muestra de </w:t>
      </w:r>
      <w:r w:rsidR="00E674EA" w:rsidRPr="00180258">
        <w:rPr>
          <w:rFonts w:ascii="Arial" w:hAnsi="Arial" w:cs="Arial"/>
          <w:sz w:val="24"/>
          <w:szCs w:val="24"/>
        </w:rPr>
        <w:t>173 pacientes</w:t>
      </w:r>
      <w:r w:rsidR="00160769">
        <w:rPr>
          <w:rFonts w:ascii="Arial" w:hAnsi="Arial" w:cs="Arial"/>
          <w:sz w:val="24"/>
          <w:szCs w:val="24"/>
        </w:rPr>
        <w:t xml:space="preserve"> </w:t>
      </w:r>
      <w:r w:rsidRPr="00180258">
        <w:rPr>
          <w:rFonts w:ascii="Arial" w:hAnsi="Arial" w:cs="Arial"/>
          <w:sz w:val="24"/>
          <w:szCs w:val="24"/>
        </w:rPr>
        <w:t xml:space="preserve">que cumplieron </w:t>
      </w:r>
      <w:r w:rsidR="00533C14" w:rsidRPr="00180258">
        <w:rPr>
          <w:rFonts w:ascii="Arial" w:hAnsi="Arial" w:cs="Arial"/>
          <w:sz w:val="24"/>
          <w:szCs w:val="24"/>
        </w:rPr>
        <w:t xml:space="preserve">con </w:t>
      </w:r>
      <w:r w:rsidRPr="00180258">
        <w:rPr>
          <w:rFonts w:ascii="Arial" w:hAnsi="Arial" w:cs="Arial"/>
          <w:sz w:val="24"/>
          <w:szCs w:val="24"/>
        </w:rPr>
        <w:t>los criterios</w:t>
      </w:r>
      <w:r w:rsidR="005833DE" w:rsidRPr="00180258">
        <w:rPr>
          <w:rFonts w:ascii="Arial" w:hAnsi="Arial" w:cs="Arial"/>
          <w:sz w:val="24"/>
          <w:szCs w:val="24"/>
        </w:rPr>
        <w:t xml:space="preserve"> de inclusión y exclusión, previo consentimiento informado de los </w:t>
      </w:r>
      <w:r w:rsidR="00E21D5F">
        <w:rPr>
          <w:rFonts w:ascii="Arial" w:hAnsi="Arial" w:cs="Arial"/>
          <w:sz w:val="24"/>
          <w:szCs w:val="24"/>
        </w:rPr>
        <w:t>participantes</w:t>
      </w:r>
      <w:r w:rsidR="00CF5FF9">
        <w:rPr>
          <w:rFonts w:ascii="Arial" w:hAnsi="Arial" w:cs="Arial"/>
          <w:sz w:val="24"/>
          <w:szCs w:val="24"/>
        </w:rPr>
        <w:t>.</w:t>
      </w:r>
    </w:p>
    <w:p w:rsidR="00DA32F5" w:rsidRPr="00180258" w:rsidRDefault="00640809" w:rsidP="00797188">
      <w:pPr>
        <w:jc w:val="both"/>
        <w:rPr>
          <w:rFonts w:ascii="Arial" w:hAnsi="Arial" w:cs="Arial"/>
          <w:sz w:val="24"/>
          <w:szCs w:val="24"/>
        </w:rPr>
      </w:pPr>
      <w:r>
        <w:rPr>
          <w:rFonts w:ascii="Arial" w:hAnsi="Arial" w:cs="Arial"/>
          <w:sz w:val="24"/>
          <w:szCs w:val="24"/>
        </w:rPr>
        <w:t xml:space="preserve">Se </w:t>
      </w:r>
      <w:r w:rsidR="00E674EA" w:rsidRPr="00180258">
        <w:rPr>
          <w:rFonts w:ascii="Arial" w:hAnsi="Arial" w:cs="Arial"/>
          <w:sz w:val="24"/>
          <w:szCs w:val="24"/>
        </w:rPr>
        <w:t>confeccionó una</w:t>
      </w:r>
      <w:r w:rsidR="00A43994" w:rsidRPr="00180258">
        <w:rPr>
          <w:rFonts w:ascii="Arial" w:hAnsi="Arial" w:cs="Arial"/>
          <w:sz w:val="24"/>
          <w:szCs w:val="24"/>
        </w:rPr>
        <w:t xml:space="preserve"> encuesta para la re</w:t>
      </w:r>
      <w:r w:rsidR="00BD6051">
        <w:rPr>
          <w:rFonts w:ascii="Arial" w:hAnsi="Arial" w:cs="Arial"/>
          <w:sz w:val="24"/>
          <w:szCs w:val="24"/>
        </w:rPr>
        <w:t>colección de los datos</w:t>
      </w:r>
      <w:r w:rsidR="00A43994" w:rsidRPr="00180258">
        <w:rPr>
          <w:rFonts w:ascii="Arial" w:hAnsi="Arial" w:cs="Arial"/>
          <w:sz w:val="24"/>
          <w:szCs w:val="24"/>
        </w:rPr>
        <w:t xml:space="preserve"> que incluyó un conjunto de variables que permiten caracterizar las parejas en estudio. Las principales va</w:t>
      </w:r>
      <w:r w:rsidR="00B5755B">
        <w:rPr>
          <w:rFonts w:ascii="Arial" w:hAnsi="Arial" w:cs="Arial"/>
          <w:sz w:val="24"/>
          <w:szCs w:val="24"/>
        </w:rPr>
        <w:t>riables estudiadas incluyeron: E</w:t>
      </w:r>
      <w:r w:rsidR="00A43994" w:rsidRPr="00180258">
        <w:rPr>
          <w:rFonts w:ascii="Arial" w:hAnsi="Arial" w:cs="Arial"/>
          <w:sz w:val="24"/>
          <w:szCs w:val="24"/>
        </w:rPr>
        <w:t>dad, tipo de Infertilidad, tiempo de infertilidad, factor causal identificado, factor masculino asociado, estudios realizados, terapéutica recibida, tiempo de atención en consulta.</w:t>
      </w:r>
      <w:r w:rsidR="00533C14" w:rsidRPr="00180258">
        <w:rPr>
          <w:rFonts w:ascii="Arial" w:hAnsi="Arial" w:cs="Arial"/>
          <w:sz w:val="24"/>
          <w:szCs w:val="24"/>
        </w:rPr>
        <w:t xml:space="preserve"> A partir de su realización la encuesta se convirtió en el registro primario de la investigación.</w:t>
      </w:r>
      <w:r w:rsidR="00DC16F9">
        <w:rPr>
          <w:rFonts w:ascii="Arial" w:hAnsi="Arial" w:cs="Arial"/>
          <w:sz w:val="24"/>
          <w:szCs w:val="24"/>
        </w:rPr>
        <w:t xml:space="preserve"> </w:t>
      </w:r>
      <w:r w:rsidR="00A43994" w:rsidRPr="00180258">
        <w:rPr>
          <w:rFonts w:ascii="Arial" w:hAnsi="Arial" w:cs="Arial"/>
          <w:sz w:val="24"/>
          <w:szCs w:val="24"/>
        </w:rPr>
        <w:t>La fuente secundaria de datos fueron las Historias Clínicas de las parejas infértiles</w:t>
      </w:r>
      <w:r w:rsidR="00586D59" w:rsidRPr="00180258">
        <w:rPr>
          <w:rFonts w:ascii="Arial" w:hAnsi="Arial" w:cs="Arial"/>
          <w:sz w:val="24"/>
          <w:szCs w:val="24"/>
        </w:rPr>
        <w:t>.</w:t>
      </w:r>
    </w:p>
    <w:p w:rsidR="00C41578" w:rsidRPr="00180258" w:rsidRDefault="00586D59" w:rsidP="00797188">
      <w:pPr>
        <w:jc w:val="both"/>
        <w:rPr>
          <w:rFonts w:ascii="Arial" w:hAnsi="Arial" w:cs="Arial"/>
          <w:sz w:val="24"/>
          <w:szCs w:val="24"/>
        </w:rPr>
      </w:pPr>
      <w:r w:rsidRPr="00180258">
        <w:rPr>
          <w:rFonts w:ascii="Arial" w:hAnsi="Arial" w:cs="Arial"/>
          <w:sz w:val="24"/>
          <w:szCs w:val="24"/>
        </w:rPr>
        <w:t>Se construyó una base de datos con el empleo del paquete estadístico SPSS versión 21.0 para Windows</w:t>
      </w:r>
      <w:r w:rsidR="00A25914" w:rsidRPr="00180258">
        <w:rPr>
          <w:rFonts w:ascii="Arial" w:hAnsi="Arial" w:cs="Arial"/>
          <w:sz w:val="24"/>
          <w:szCs w:val="24"/>
        </w:rPr>
        <w:t xml:space="preserve"> utilizándose estadística descriptiva </w:t>
      </w:r>
      <w:r w:rsidR="00E674EA" w:rsidRPr="00180258">
        <w:rPr>
          <w:rFonts w:ascii="Arial" w:hAnsi="Arial" w:cs="Arial"/>
          <w:sz w:val="24"/>
          <w:szCs w:val="24"/>
        </w:rPr>
        <w:t>(frecuencias</w:t>
      </w:r>
      <w:r w:rsidR="00A25914" w:rsidRPr="00180258">
        <w:rPr>
          <w:rFonts w:ascii="Arial" w:hAnsi="Arial" w:cs="Arial"/>
          <w:sz w:val="24"/>
          <w:szCs w:val="24"/>
        </w:rPr>
        <w:t xml:space="preserve"> y porcientos) y estadística inferencial </w:t>
      </w:r>
      <w:r w:rsidR="00E674EA" w:rsidRPr="00180258">
        <w:rPr>
          <w:rFonts w:ascii="Arial" w:hAnsi="Arial" w:cs="Arial"/>
          <w:sz w:val="24"/>
          <w:szCs w:val="24"/>
        </w:rPr>
        <w:t>(test</w:t>
      </w:r>
      <w:r w:rsidR="00A25914" w:rsidRPr="00180258">
        <w:rPr>
          <w:rFonts w:ascii="Arial" w:hAnsi="Arial" w:cs="Arial"/>
          <w:sz w:val="24"/>
          <w:szCs w:val="24"/>
        </w:rPr>
        <w:t xml:space="preserve"> de hipótesis de proporciones con una </w:t>
      </w:r>
      <w:r w:rsidR="00E674EA" w:rsidRPr="00180258">
        <w:rPr>
          <w:rFonts w:ascii="Arial" w:hAnsi="Arial" w:cs="Arial"/>
          <w:sz w:val="24"/>
          <w:szCs w:val="24"/>
        </w:rPr>
        <w:t>significación P</w:t>
      </w:r>
      <w:r w:rsidR="00A25914" w:rsidRPr="00180258">
        <w:rPr>
          <w:rFonts w:ascii="Arial" w:hAnsi="Arial" w:cs="Arial"/>
          <w:sz w:val="24"/>
          <w:szCs w:val="24"/>
        </w:rPr>
        <w:t>&lt; 0,05</w:t>
      </w:r>
      <w:r w:rsidR="00642244" w:rsidRPr="00180258">
        <w:rPr>
          <w:rFonts w:ascii="Arial" w:hAnsi="Arial" w:cs="Arial"/>
          <w:sz w:val="24"/>
          <w:szCs w:val="24"/>
        </w:rPr>
        <w:t xml:space="preserve"> y una confiabilidad del 95 %</w:t>
      </w:r>
      <w:r w:rsidR="00A25914" w:rsidRPr="00180258">
        <w:rPr>
          <w:rFonts w:ascii="Arial" w:hAnsi="Arial" w:cs="Arial"/>
          <w:sz w:val="24"/>
          <w:szCs w:val="24"/>
        </w:rPr>
        <w:t>)</w:t>
      </w:r>
      <w:r w:rsidRPr="00180258">
        <w:rPr>
          <w:rFonts w:ascii="Arial" w:hAnsi="Arial" w:cs="Arial"/>
          <w:sz w:val="24"/>
          <w:szCs w:val="24"/>
        </w:rPr>
        <w:t>.</w:t>
      </w:r>
    </w:p>
    <w:p w:rsidR="00DA32F5" w:rsidRPr="003437C4" w:rsidRDefault="00DA32F5" w:rsidP="00797188">
      <w:pPr>
        <w:jc w:val="both"/>
        <w:rPr>
          <w:rFonts w:ascii="Arial" w:hAnsi="Arial" w:cs="Arial"/>
          <w:sz w:val="24"/>
          <w:szCs w:val="24"/>
          <w:vertAlign w:val="superscript"/>
        </w:rPr>
      </w:pPr>
      <w:r w:rsidRPr="00180258">
        <w:rPr>
          <w:rFonts w:ascii="Arial" w:hAnsi="Arial" w:cs="Arial"/>
          <w:sz w:val="24"/>
          <w:szCs w:val="24"/>
        </w:rPr>
        <w:t>Para realizar la investigación se tuvo en cuenta la aprobación del tema en el Comité Científico del Hospital y los principios bioéticos contenidos en la Declaración de Helsinki.</w:t>
      </w:r>
      <w:r w:rsidR="003437C4">
        <w:rPr>
          <w:rFonts w:ascii="Arial" w:hAnsi="Arial" w:cs="Arial"/>
          <w:sz w:val="24"/>
          <w:szCs w:val="24"/>
          <w:vertAlign w:val="superscript"/>
        </w:rPr>
        <w:t>(8)</w:t>
      </w:r>
    </w:p>
    <w:p w:rsidR="00B7449A" w:rsidRDefault="00B7449A" w:rsidP="00797188">
      <w:pPr>
        <w:jc w:val="both"/>
        <w:rPr>
          <w:rFonts w:ascii="Arial" w:hAnsi="Arial" w:cs="Arial"/>
          <w:b/>
          <w:sz w:val="24"/>
          <w:szCs w:val="24"/>
        </w:rPr>
      </w:pPr>
    </w:p>
    <w:p w:rsidR="00A25914" w:rsidRPr="00180258" w:rsidRDefault="00C6546E" w:rsidP="00797188">
      <w:pPr>
        <w:jc w:val="both"/>
        <w:rPr>
          <w:rFonts w:ascii="Arial" w:hAnsi="Arial" w:cs="Arial"/>
          <w:b/>
          <w:sz w:val="24"/>
          <w:szCs w:val="24"/>
        </w:rPr>
      </w:pPr>
      <w:r>
        <w:rPr>
          <w:rFonts w:ascii="Arial" w:hAnsi="Arial" w:cs="Arial"/>
          <w:b/>
          <w:sz w:val="24"/>
          <w:szCs w:val="24"/>
        </w:rPr>
        <w:t>RESULTADOS</w:t>
      </w:r>
    </w:p>
    <w:p w:rsidR="00DA32F5" w:rsidRDefault="000B539B" w:rsidP="00797188">
      <w:pPr>
        <w:jc w:val="both"/>
        <w:rPr>
          <w:rFonts w:ascii="Arial" w:eastAsiaTheme="minorHAnsi" w:hAnsi="Arial" w:cs="Arial"/>
          <w:sz w:val="24"/>
          <w:szCs w:val="24"/>
        </w:rPr>
      </w:pPr>
      <w:r w:rsidRPr="00180258">
        <w:rPr>
          <w:rFonts w:ascii="Arial" w:eastAsiaTheme="minorHAnsi" w:hAnsi="Arial" w:cs="Arial"/>
          <w:sz w:val="24"/>
          <w:szCs w:val="24"/>
        </w:rPr>
        <w:t xml:space="preserve">El análisis de los grupos </w:t>
      </w:r>
      <w:r w:rsidR="00557622" w:rsidRPr="00180258">
        <w:rPr>
          <w:rFonts w:ascii="Arial" w:eastAsiaTheme="minorHAnsi" w:hAnsi="Arial" w:cs="Arial"/>
          <w:sz w:val="24"/>
          <w:szCs w:val="24"/>
        </w:rPr>
        <w:t>etarios</w:t>
      </w:r>
      <w:r w:rsidR="00A25914" w:rsidRPr="00180258">
        <w:rPr>
          <w:rFonts w:ascii="Arial" w:eastAsiaTheme="minorHAnsi" w:hAnsi="Arial" w:cs="Arial"/>
          <w:sz w:val="24"/>
          <w:szCs w:val="24"/>
        </w:rPr>
        <w:t xml:space="preserve"> y tipo de infertilidad en la tabla1 demostró que fue más frecuente la inferti</w:t>
      </w:r>
      <w:r w:rsidR="00E00CD3" w:rsidRPr="00180258">
        <w:rPr>
          <w:rFonts w:ascii="Arial" w:eastAsiaTheme="minorHAnsi" w:hAnsi="Arial" w:cs="Arial"/>
          <w:sz w:val="24"/>
          <w:szCs w:val="24"/>
        </w:rPr>
        <w:t>lidad secundaria en 98 mujeres</w:t>
      </w:r>
      <w:r w:rsidR="002D2E18" w:rsidRPr="00180258">
        <w:rPr>
          <w:rFonts w:ascii="Arial" w:eastAsiaTheme="minorHAnsi" w:hAnsi="Arial" w:cs="Arial"/>
          <w:sz w:val="24"/>
          <w:szCs w:val="24"/>
        </w:rPr>
        <w:t xml:space="preserve"> (56,6%)</w:t>
      </w:r>
      <w:r w:rsidR="00A25914" w:rsidRPr="00180258">
        <w:rPr>
          <w:rFonts w:ascii="Arial" w:eastAsiaTheme="minorHAnsi" w:hAnsi="Arial" w:cs="Arial"/>
          <w:sz w:val="24"/>
          <w:szCs w:val="24"/>
        </w:rPr>
        <w:t xml:space="preserve">, predominando </w:t>
      </w:r>
      <w:r w:rsidR="00AC4D16">
        <w:rPr>
          <w:rFonts w:ascii="Arial" w:eastAsiaTheme="minorHAnsi" w:hAnsi="Arial" w:cs="Arial"/>
          <w:sz w:val="24"/>
          <w:szCs w:val="24"/>
        </w:rPr>
        <w:t>esta</w:t>
      </w:r>
      <w:r w:rsidR="00A25914" w:rsidRPr="00180258">
        <w:rPr>
          <w:rFonts w:ascii="Arial" w:eastAsiaTheme="minorHAnsi" w:hAnsi="Arial" w:cs="Arial"/>
          <w:sz w:val="24"/>
          <w:szCs w:val="24"/>
        </w:rPr>
        <w:t xml:space="preserve"> entre los 25 y 29 añ</w:t>
      </w:r>
      <w:r w:rsidR="00D83C2C">
        <w:rPr>
          <w:rFonts w:ascii="Arial" w:eastAsiaTheme="minorHAnsi" w:hAnsi="Arial" w:cs="Arial"/>
          <w:sz w:val="24"/>
          <w:szCs w:val="24"/>
        </w:rPr>
        <w:t>os con 32 mujeres para un 18,5%</w:t>
      </w:r>
      <w:r w:rsidR="005833DE" w:rsidRPr="00180258">
        <w:rPr>
          <w:rFonts w:ascii="Arial" w:eastAsiaTheme="minorHAnsi" w:hAnsi="Arial" w:cs="Arial"/>
          <w:sz w:val="24"/>
          <w:szCs w:val="24"/>
        </w:rPr>
        <w:t>,</w:t>
      </w:r>
      <w:r w:rsidR="00A25914" w:rsidRPr="00180258">
        <w:rPr>
          <w:rFonts w:ascii="Arial" w:eastAsiaTheme="minorHAnsi" w:hAnsi="Arial" w:cs="Arial"/>
          <w:sz w:val="24"/>
          <w:szCs w:val="24"/>
        </w:rPr>
        <w:t xml:space="preserve"> en segundo </w:t>
      </w:r>
      <w:r w:rsidR="00D83C2C">
        <w:rPr>
          <w:rFonts w:ascii="Arial" w:eastAsiaTheme="minorHAnsi" w:hAnsi="Arial" w:cs="Arial"/>
          <w:sz w:val="24"/>
          <w:szCs w:val="24"/>
        </w:rPr>
        <w:t>lugar,</w:t>
      </w:r>
      <w:r w:rsidR="00A25914" w:rsidRPr="00180258">
        <w:rPr>
          <w:rFonts w:ascii="Arial" w:eastAsiaTheme="minorHAnsi" w:hAnsi="Arial" w:cs="Arial"/>
          <w:sz w:val="24"/>
          <w:szCs w:val="24"/>
        </w:rPr>
        <w:t xml:space="preserve"> se ubicó el grupo de 30 a 34 años con el 16,7 %. En cuanto a la infertilidad prim</w:t>
      </w:r>
      <w:r w:rsidR="00E00CD3" w:rsidRPr="00180258">
        <w:rPr>
          <w:rFonts w:ascii="Arial" w:eastAsiaTheme="minorHAnsi" w:hAnsi="Arial" w:cs="Arial"/>
          <w:sz w:val="24"/>
          <w:szCs w:val="24"/>
        </w:rPr>
        <w:t>aria se presentó en 75 féminas</w:t>
      </w:r>
      <w:r w:rsidR="00A25914" w:rsidRPr="00180258">
        <w:rPr>
          <w:rFonts w:ascii="Arial" w:eastAsiaTheme="minorHAnsi" w:hAnsi="Arial" w:cs="Arial"/>
          <w:sz w:val="24"/>
          <w:szCs w:val="24"/>
        </w:rPr>
        <w:t xml:space="preserve"> para un 43,4% y fue más representa</w:t>
      </w:r>
      <w:r w:rsidR="00D83C2C">
        <w:rPr>
          <w:rFonts w:ascii="Arial" w:eastAsiaTheme="minorHAnsi" w:hAnsi="Arial" w:cs="Arial"/>
          <w:sz w:val="24"/>
          <w:szCs w:val="24"/>
        </w:rPr>
        <w:t>tiva en el grupo de edad de 25 a</w:t>
      </w:r>
      <w:r w:rsidR="00A25914" w:rsidRPr="00180258">
        <w:rPr>
          <w:rFonts w:ascii="Arial" w:eastAsiaTheme="minorHAnsi" w:hAnsi="Arial" w:cs="Arial"/>
          <w:sz w:val="24"/>
          <w:szCs w:val="24"/>
        </w:rPr>
        <w:t xml:space="preserve"> 29 años con 27 casos para 15,6 %.</w:t>
      </w:r>
    </w:p>
    <w:p w:rsidR="00B7449A" w:rsidRDefault="00B7449A" w:rsidP="00797188">
      <w:pPr>
        <w:jc w:val="both"/>
        <w:rPr>
          <w:rFonts w:ascii="Arial" w:eastAsiaTheme="minorHAnsi" w:hAnsi="Arial" w:cs="Arial"/>
          <w:sz w:val="24"/>
          <w:szCs w:val="24"/>
        </w:rPr>
      </w:pPr>
      <w:r>
        <w:rPr>
          <w:rFonts w:ascii="Arial" w:eastAsiaTheme="minorHAnsi" w:hAnsi="Arial" w:cs="Arial"/>
          <w:sz w:val="24"/>
          <w:szCs w:val="24"/>
        </w:rPr>
        <w:t>Tabla 1. Comportamiento según edad y tipo de infertilidad.</w:t>
      </w:r>
    </w:p>
    <w:p w:rsidR="00E338E6" w:rsidRDefault="00E338E6" w:rsidP="00797188">
      <w:pPr>
        <w:jc w:val="both"/>
        <w:rPr>
          <w:rFonts w:ascii="Arial" w:hAnsi="Arial" w:cs="Arial"/>
          <w:sz w:val="24"/>
          <w:szCs w:val="24"/>
        </w:rPr>
      </w:pPr>
    </w:p>
    <w:tbl>
      <w:tblPr>
        <w:tblpPr w:leftFromText="141" w:rightFromText="141" w:vertAnchor="page" w:horzAnchor="margin" w:tblpXSpec="center" w:tblpY="5371"/>
        <w:tblW w:w="3627" w:type="pct"/>
        <w:tblCellMar>
          <w:left w:w="70" w:type="dxa"/>
          <w:right w:w="70" w:type="dxa"/>
        </w:tblCellMar>
        <w:tblLook w:val="04A0" w:firstRow="1" w:lastRow="0" w:firstColumn="1" w:lastColumn="0" w:noHBand="0" w:noVBand="1"/>
      </w:tblPr>
      <w:tblGrid>
        <w:gridCol w:w="1742"/>
        <w:gridCol w:w="994"/>
        <w:gridCol w:w="608"/>
        <w:gridCol w:w="994"/>
        <w:gridCol w:w="608"/>
        <w:gridCol w:w="994"/>
        <w:gridCol w:w="741"/>
      </w:tblGrid>
      <w:tr w:rsidR="00CF5FF9" w:rsidRPr="00A81DD3" w:rsidTr="00CF5FF9">
        <w:trPr>
          <w:trHeight w:val="247"/>
        </w:trPr>
        <w:tc>
          <w:tcPr>
            <w:tcW w:w="1304" w:type="pct"/>
            <w:vMerge w:val="restart"/>
            <w:tcBorders>
              <w:top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Grupo de edad</w:t>
            </w:r>
          </w:p>
        </w:tc>
        <w:tc>
          <w:tcPr>
            <w:tcW w:w="2398" w:type="pct"/>
            <w:gridSpan w:val="4"/>
            <w:tcBorders>
              <w:top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Tipo de infertilidad</w:t>
            </w:r>
          </w:p>
        </w:tc>
        <w:tc>
          <w:tcPr>
            <w:tcW w:w="1298" w:type="pct"/>
            <w:gridSpan w:val="2"/>
            <w:tcBorders>
              <w:top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Total</w:t>
            </w:r>
          </w:p>
        </w:tc>
      </w:tr>
      <w:tr w:rsidR="00CF5FF9" w:rsidRPr="00A81DD3" w:rsidTr="00CF5FF9">
        <w:trPr>
          <w:trHeight w:val="247"/>
        </w:trPr>
        <w:tc>
          <w:tcPr>
            <w:tcW w:w="1304" w:type="pct"/>
            <w:vMerge/>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p>
        </w:tc>
        <w:tc>
          <w:tcPr>
            <w:tcW w:w="1199" w:type="pct"/>
            <w:gridSpan w:val="2"/>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Primaria</w:t>
            </w:r>
          </w:p>
        </w:tc>
        <w:tc>
          <w:tcPr>
            <w:tcW w:w="1199" w:type="pct"/>
            <w:gridSpan w:val="2"/>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Secundaria</w:t>
            </w:r>
          </w:p>
        </w:tc>
        <w:tc>
          <w:tcPr>
            <w:tcW w:w="744" w:type="pct"/>
            <w:vMerge w:val="restar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Número</w:t>
            </w:r>
          </w:p>
        </w:tc>
        <w:tc>
          <w:tcPr>
            <w:tcW w:w="555" w:type="pct"/>
            <w:vMerge w:val="restar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w:t>
            </w:r>
          </w:p>
        </w:tc>
      </w:tr>
      <w:tr w:rsidR="00CF5FF9" w:rsidRPr="00A81DD3" w:rsidTr="00CF5FF9">
        <w:trPr>
          <w:trHeight w:val="260"/>
        </w:trPr>
        <w:tc>
          <w:tcPr>
            <w:tcW w:w="1304" w:type="pct"/>
            <w:vMerge/>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p>
        </w:tc>
        <w:tc>
          <w:tcPr>
            <w:tcW w:w="744"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Número</w:t>
            </w:r>
          </w:p>
        </w:tc>
        <w:tc>
          <w:tcPr>
            <w:tcW w:w="455"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w:t>
            </w:r>
          </w:p>
        </w:tc>
        <w:tc>
          <w:tcPr>
            <w:tcW w:w="744"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Número</w:t>
            </w:r>
          </w:p>
        </w:tc>
        <w:tc>
          <w:tcPr>
            <w:tcW w:w="455"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w:t>
            </w:r>
          </w:p>
        </w:tc>
        <w:tc>
          <w:tcPr>
            <w:tcW w:w="744" w:type="pct"/>
            <w:vMerge/>
            <w:tcBorders>
              <w:bottom w:val="single" w:sz="2" w:space="0" w:color="auto"/>
            </w:tcBorders>
            <w:vAlign w:val="center"/>
            <w:hideMark/>
          </w:tcPr>
          <w:p w:rsidR="00CF5FF9" w:rsidRPr="00A81DD3" w:rsidRDefault="00CF5FF9" w:rsidP="00CF5FF9">
            <w:pPr>
              <w:spacing w:line="276" w:lineRule="auto"/>
              <w:jc w:val="both"/>
              <w:rPr>
                <w:rFonts w:ascii="Arial" w:hAnsi="Arial" w:cs="Arial"/>
                <w:sz w:val="24"/>
                <w:szCs w:val="24"/>
                <w:lang w:val="es-MX"/>
              </w:rPr>
            </w:pPr>
          </w:p>
        </w:tc>
        <w:tc>
          <w:tcPr>
            <w:tcW w:w="555" w:type="pct"/>
            <w:vMerge/>
            <w:tcBorders>
              <w:bottom w:val="single" w:sz="2" w:space="0" w:color="auto"/>
            </w:tcBorders>
            <w:vAlign w:val="center"/>
            <w:hideMark/>
          </w:tcPr>
          <w:p w:rsidR="00CF5FF9" w:rsidRPr="00A81DD3" w:rsidRDefault="00CF5FF9" w:rsidP="00CF5FF9">
            <w:pPr>
              <w:spacing w:line="276" w:lineRule="auto"/>
              <w:jc w:val="both"/>
              <w:rPr>
                <w:rFonts w:ascii="Arial" w:hAnsi="Arial" w:cs="Arial"/>
                <w:sz w:val="24"/>
                <w:szCs w:val="24"/>
                <w:lang w:val="es-MX"/>
              </w:rPr>
            </w:pPr>
          </w:p>
        </w:tc>
      </w:tr>
      <w:tr w:rsidR="00CF5FF9" w:rsidRPr="00A81DD3" w:rsidTr="00CF5FF9">
        <w:trPr>
          <w:trHeight w:val="260"/>
        </w:trPr>
        <w:tc>
          <w:tcPr>
            <w:tcW w:w="1304" w:type="pct"/>
            <w:tcBorders>
              <w:top w:val="single" w:sz="2" w:space="0" w:color="auto"/>
            </w:tcBorders>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20-24</w:t>
            </w:r>
          </w:p>
        </w:tc>
        <w:tc>
          <w:tcPr>
            <w:tcW w:w="744"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11</w:t>
            </w:r>
          </w:p>
        </w:tc>
        <w:tc>
          <w:tcPr>
            <w:tcW w:w="455"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6,4</w:t>
            </w:r>
          </w:p>
        </w:tc>
        <w:tc>
          <w:tcPr>
            <w:tcW w:w="744"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13</w:t>
            </w:r>
          </w:p>
        </w:tc>
        <w:tc>
          <w:tcPr>
            <w:tcW w:w="455"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7,5</w:t>
            </w:r>
          </w:p>
        </w:tc>
        <w:tc>
          <w:tcPr>
            <w:tcW w:w="744"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24</w:t>
            </w:r>
          </w:p>
        </w:tc>
        <w:tc>
          <w:tcPr>
            <w:tcW w:w="555" w:type="pct"/>
            <w:tcBorders>
              <w:top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8,3</w:t>
            </w:r>
          </w:p>
        </w:tc>
      </w:tr>
      <w:tr w:rsidR="00CF5FF9" w:rsidRPr="00A81DD3" w:rsidTr="00CF5FF9">
        <w:trPr>
          <w:trHeight w:val="260"/>
        </w:trPr>
        <w:tc>
          <w:tcPr>
            <w:tcW w:w="1304" w:type="pct"/>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25-29</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27</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15,6</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32</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18,5</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59</w:t>
            </w:r>
          </w:p>
        </w:tc>
        <w:tc>
          <w:tcPr>
            <w:tcW w:w="5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33,3</w:t>
            </w:r>
          </w:p>
        </w:tc>
      </w:tr>
      <w:tr w:rsidR="00CF5FF9" w:rsidRPr="00A81DD3" w:rsidTr="00CF5FF9">
        <w:trPr>
          <w:trHeight w:val="260"/>
        </w:trPr>
        <w:tc>
          <w:tcPr>
            <w:tcW w:w="1304" w:type="pct"/>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30-34</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24</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13,9</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29</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16,7</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53</w:t>
            </w:r>
          </w:p>
        </w:tc>
        <w:tc>
          <w:tcPr>
            <w:tcW w:w="5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25,0</w:t>
            </w:r>
          </w:p>
        </w:tc>
      </w:tr>
      <w:tr w:rsidR="00CF5FF9" w:rsidRPr="00A81DD3" w:rsidTr="00CF5FF9">
        <w:trPr>
          <w:trHeight w:val="260"/>
        </w:trPr>
        <w:tc>
          <w:tcPr>
            <w:tcW w:w="1304" w:type="pct"/>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35-39</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13</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7,5</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20</w:t>
            </w:r>
          </w:p>
        </w:tc>
        <w:tc>
          <w:tcPr>
            <w:tcW w:w="4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11,6</w:t>
            </w:r>
          </w:p>
        </w:tc>
        <w:tc>
          <w:tcPr>
            <w:tcW w:w="744"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33</w:t>
            </w:r>
          </w:p>
        </w:tc>
        <w:tc>
          <w:tcPr>
            <w:tcW w:w="555" w:type="pct"/>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27,8</w:t>
            </w:r>
          </w:p>
        </w:tc>
      </w:tr>
      <w:tr w:rsidR="00CF5FF9" w:rsidRPr="00A81DD3" w:rsidTr="00CF5FF9">
        <w:trPr>
          <w:trHeight w:val="260"/>
        </w:trPr>
        <w:tc>
          <w:tcPr>
            <w:tcW w:w="1304" w:type="pct"/>
            <w:tcBorders>
              <w:bottom w:val="single" w:sz="2" w:space="0" w:color="auto"/>
            </w:tcBorders>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40 y mas</w:t>
            </w:r>
          </w:p>
        </w:tc>
        <w:tc>
          <w:tcPr>
            <w:tcW w:w="744"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0</w:t>
            </w:r>
          </w:p>
        </w:tc>
        <w:tc>
          <w:tcPr>
            <w:tcW w:w="455"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0,0</w:t>
            </w:r>
          </w:p>
        </w:tc>
        <w:tc>
          <w:tcPr>
            <w:tcW w:w="744"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4</w:t>
            </w:r>
          </w:p>
        </w:tc>
        <w:tc>
          <w:tcPr>
            <w:tcW w:w="455"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2,3</w:t>
            </w:r>
          </w:p>
        </w:tc>
        <w:tc>
          <w:tcPr>
            <w:tcW w:w="744"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4</w:t>
            </w:r>
          </w:p>
        </w:tc>
        <w:tc>
          <w:tcPr>
            <w:tcW w:w="555" w:type="pct"/>
            <w:tcBorders>
              <w:bottom w:val="single" w:sz="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5,6</w:t>
            </w:r>
          </w:p>
        </w:tc>
      </w:tr>
      <w:tr w:rsidR="00CF5FF9" w:rsidRPr="00A81DD3" w:rsidTr="00CF5FF9">
        <w:trPr>
          <w:trHeight w:val="260"/>
        </w:trPr>
        <w:tc>
          <w:tcPr>
            <w:tcW w:w="1304" w:type="pct"/>
            <w:tcBorders>
              <w:top w:val="single" w:sz="2" w:space="0" w:color="auto"/>
              <w:bottom w:val="single" w:sz="12" w:space="0" w:color="auto"/>
            </w:tcBorders>
            <w:shd w:val="clear" w:color="auto" w:fill="auto"/>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Total</w:t>
            </w:r>
          </w:p>
        </w:tc>
        <w:tc>
          <w:tcPr>
            <w:tcW w:w="744"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75</w:t>
            </w:r>
          </w:p>
        </w:tc>
        <w:tc>
          <w:tcPr>
            <w:tcW w:w="455"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43,4</w:t>
            </w:r>
          </w:p>
        </w:tc>
        <w:tc>
          <w:tcPr>
            <w:tcW w:w="744"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98</w:t>
            </w:r>
          </w:p>
        </w:tc>
        <w:tc>
          <w:tcPr>
            <w:tcW w:w="455"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56,6</w:t>
            </w:r>
          </w:p>
        </w:tc>
        <w:tc>
          <w:tcPr>
            <w:tcW w:w="744"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173</w:t>
            </w:r>
          </w:p>
        </w:tc>
        <w:tc>
          <w:tcPr>
            <w:tcW w:w="555" w:type="pct"/>
            <w:tcBorders>
              <w:top w:val="single" w:sz="2" w:space="0" w:color="auto"/>
              <w:bottom w:val="single" w:sz="12" w:space="0" w:color="auto"/>
            </w:tcBorders>
            <w:shd w:val="clear" w:color="auto" w:fill="auto"/>
            <w:noWrap/>
            <w:vAlign w:val="center"/>
            <w:hideMark/>
          </w:tcPr>
          <w:p w:rsidR="00CF5FF9" w:rsidRPr="00A81DD3" w:rsidRDefault="00CF5FF9" w:rsidP="00CF5FF9">
            <w:pPr>
              <w:spacing w:line="276" w:lineRule="auto"/>
              <w:jc w:val="both"/>
              <w:rPr>
                <w:rFonts w:ascii="Arial" w:hAnsi="Arial" w:cs="Arial"/>
                <w:sz w:val="24"/>
                <w:szCs w:val="24"/>
                <w:lang w:val="es-MX"/>
              </w:rPr>
            </w:pPr>
            <w:r w:rsidRPr="00A81DD3">
              <w:rPr>
                <w:rFonts w:ascii="Arial" w:hAnsi="Arial" w:cs="Arial"/>
                <w:sz w:val="24"/>
                <w:szCs w:val="24"/>
                <w:lang w:val="es-MX"/>
              </w:rPr>
              <w:t>100,0</w:t>
            </w:r>
          </w:p>
        </w:tc>
      </w:tr>
    </w:tbl>
    <w:p w:rsidR="00B7449A" w:rsidRDefault="00B7449A"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D62619" w:rsidRDefault="00D62619" w:rsidP="00797188">
      <w:pPr>
        <w:spacing w:line="276" w:lineRule="auto"/>
        <w:jc w:val="both"/>
        <w:rPr>
          <w:rFonts w:ascii="Arial" w:hAnsi="Arial" w:cs="Arial"/>
          <w:sz w:val="24"/>
          <w:szCs w:val="24"/>
        </w:rPr>
      </w:pPr>
    </w:p>
    <w:p w:rsidR="00CF5FF9" w:rsidRDefault="00CF5FF9" w:rsidP="00797188">
      <w:pPr>
        <w:spacing w:line="276" w:lineRule="auto"/>
        <w:jc w:val="both"/>
        <w:rPr>
          <w:rFonts w:ascii="Arial" w:hAnsi="Arial" w:cs="Arial"/>
          <w:sz w:val="24"/>
          <w:szCs w:val="24"/>
        </w:rPr>
      </w:pPr>
    </w:p>
    <w:p w:rsidR="00640809" w:rsidRDefault="00640809" w:rsidP="00797188">
      <w:pPr>
        <w:spacing w:line="240" w:lineRule="auto"/>
        <w:jc w:val="both"/>
        <w:rPr>
          <w:rFonts w:ascii="Arial" w:hAnsi="Arial" w:cs="Arial"/>
          <w:sz w:val="24"/>
          <w:szCs w:val="24"/>
        </w:rPr>
      </w:pPr>
    </w:p>
    <w:p w:rsidR="00CF5FF9" w:rsidRDefault="00640809" w:rsidP="00797188">
      <w:pPr>
        <w:spacing w:line="240" w:lineRule="auto"/>
        <w:jc w:val="both"/>
        <w:rPr>
          <w:rFonts w:ascii="Arial" w:hAnsi="Arial" w:cs="Arial"/>
          <w:sz w:val="24"/>
          <w:szCs w:val="24"/>
        </w:rPr>
      </w:pPr>
      <w:r>
        <w:rPr>
          <w:rFonts w:ascii="Arial" w:hAnsi="Arial" w:cs="Arial"/>
          <w:sz w:val="24"/>
          <w:szCs w:val="24"/>
        </w:rPr>
        <w:t xml:space="preserve">                </w:t>
      </w:r>
      <w:r w:rsidR="00D62619">
        <w:rPr>
          <w:rFonts w:ascii="Arial" w:hAnsi="Arial" w:cs="Arial"/>
          <w:sz w:val="24"/>
          <w:szCs w:val="24"/>
        </w:rPr>
        <w:t xml:space="preserve"> </w:t>
      </w:r>
    </w:p>
    <w:p w:rsidR="00CF5FF9" w:rsidRDefault="00CF5FF9" w:rsidP="00797188">
      <w:pPr>
        <w:spacing w:line="240" w:lineRule="auto"/>
        <w:jc w:val="both"/>
        <w:rPr>
          <w:rFonts w:ascii="Arial" w:hAnsi="Arial" w:cs="Arial"/>
          <w:sz w:val="24"/>
          <w:szCs w:val="24"/>
        </w:rPr>
      </w:pPr>
    </w:p>
    <w:p w:rsidR="00CF5FF9" w:rsidRDefault="00CF5FF9" w:rsidP="00797188">
      <w:pPr>
        <w:spacing w:line="240" w:lineRule="auto"/>
        <w:jc w:val="both"/>
        <w:rPr>
          <w:rFonts w:ascii="Arial" w:hAnsi="Arial" w:cs="Arial"/>
          <w:sz w:val="24"/>
          <w:szCs w:val="24"/>
        </w:rPr>
      </w:pPr>
    </w:p>
    <w:p w:rsidR="00CF5FF9" w:rsidRDefault="00CF5FF9" w:rsidP="00797188">
      <w:pPr>
        <w:spacing w:line="240" w:lineRule="auto"/>
        <w:jc w:val="both"/>
        <w:rPr>
          <w:rFonts w:ascii="Arial" w:hAnsi="Arial" w:cs="Arial"/>
          <w:sz w:val="24"/>
          <w:szCs w:val="24"/>
        </w:rPr>
      </w:pPr>
    </w:p>
    <w:p w:rsidR="00CF5FF9" w:rsidRDefault="00CF5FF9" w:rsidP="00797188">
      <w:pPr>
        <w:spacing w:line="240" w:lineRule="auto"/>
        <w:jc w:val="both"/>
        <w:rPr>
          <w:rFonts w:ascii="Arial" w:hAnsi="Arial" w:cs="Arial"/>
          <w:sz w:val="24"/>
          <w:szCs w:val="24"/>
        </w:rPr>
      </w:pPr>
    </w:p>
    <w:p w:rsidR="00CF5FF9" w:rsidRDefault="00CF5FF9" w:rsidP="00797188">
      <w:pPr>
        <w:spacing w:line="240" w:lineRule="auto"/>
        <w:jc w:val="both"/>
        <w:rPr>
          <w:rFonts w:ascii="Arial" w:hAnsi="Arial" w:cs="Arial"/>
          <w:sz w:val="24"/>
          <w:szCs w:val="24"/>
        </w:rPr>
      </w:pPr>
    </w:p>
    <w:p w:rsidR="00E338E6" w:rsidRDefault="00E338E6" w:rsidP="00797188">
      <w:pPr>
        <w:spacing w:line="240" w:lineRule="auto"/>
        <w:jc w:val="both"/>
        <w:rPr>
          <w:rFonts w:ascii="Arial" w:hAnsi="Arial" w:cs="Arial"/>
          <w:sz w:val="20"/>
          <w:szCs w:val="20"/>
        </w:rPr>
      </w:pPr>
      <w:r w:rsidRPr="00A81DD3">
        <w:rPr>
          <w:rFonts w:ascii="Arial" w:hAnsi="Arial" w:cs="Arial"/>
          <w:sz w:val="20"/>
          <w:szCs w:val="20"/>
        </w:rPr>
        <w:t xml:space="preserve">Fuente: Encuesta                            </w:t>
      </w:r>
      <w:r w:rsidR="00F557F0">
        <w:rPr>
          <w:rFonts w:ascii="Arial" w:hAnsi="Arial" w:cs="Arial"/>
          <w:sz w:val="20"/>
          <w:szCs w:val="20"/>
        </w:rPr>
        <w:t xml:space="preserve"> </w:t>
      </w:r>
    </w:p>
    <w:p w:rsidR="00DA32F5" w:rsidRDefault="00A25914" w:rsidP="00797188">
      <w:pPr>
        <w:jc w:val="both"/>
        <w:rPr>
          <w:rFonts w:ascii="Arial" w:hAnsi="Arial" w:cs="Arial"/>
          <w:sz w:val="24"/>
          <w:szCs w:val="24"/>
        </w:rPr>
      </w:pPr>
      <w:r w:rsidRPr="00180258">
        <w:rPr>
          <w:rFonts w:ascii="Arial" w:hAnsi="Arial" w:cs="Arial"/>
          <w:sz w:val="24"/>
          <w:szCs w:val="24"/>
        </w:rPr>
        <w:t>En la tabla 2, se exponen los factores etiológicos por or</w:t>
      </w:r>
      <w:r w:rsidR="00E00CD3" w:rsidRPr="00180258">
        <w:rPr>
          <w:rFonts w:ascii="Arial" w:hAnsi="Arial" w:cs="Arial"/>
          <w:sz w:val="24"/>
          <w:szCs w:val="24"/>
        </w:rPr>
        <w:t>den de frecuencia, donde se presentó</w:t>
      </w:r>
      <w:r w:rsidRPr="00180258">
        <w:rPr>
          <w:rFonts w:ascii="Arial" w:hAnsi="Arial" w:cs="Arial"/>
          <w:sz w:val="24"/>
          <w:szCs w:val="24"/>
        </w:rPr>
        <w:t xml:space="preserve"> más de uno por paciente. Predominaron el cervical </w:t>
      </w:r>
      <w:r w:rsidR="00E674EA" w:rsidRPr="00180258">
        <w:rPr>
          <w:rFonts w:ascii="Arial" w:hAnsi="Arial" w:cs="Arial"/>
          <w:sz w:val="24"/>
          <w:szCs w:val="24"/>
        </w:rPr>
        <w:t>(32</w:t>
      </w:r>
      <w:r w:rsidRPr="00180258">
        <w:rPr>
          <w:rFonts w:ascii="Arial" w:hAnsi="Arial" w:cs="Arial"/>
          <w:sz w:val="24"/>
          <w:szCs w:val="24"/>
        </w:rPr>
        <w:t>,9 %) y el ovárico (28,3 %)</w:t>
      </w:r>
      <w:r w:rsidR="009879A8">
        <w:rPr>
          <w:rFonts w:ascii="Arial" w:hAnsi="Arial" w:cs="Arial"/>
          <w:sz w:val="24"/>
          <w:szCs w:val="24"/>
        </w:rPr>
        <w:t>;</w:t>
      </w:r>
      <w:r w:rsidR="005833DE" w:rsidRPr="00180258">
        <w:rPr>
          <w:rFonts w:ascii="Arial" w:hAnsi="Arial" w:cs="Arial"/>
          <w:sz w:val="24"/>
          <w:szCs w:val="24"/>
        </w:rPr>
        <w:t xml:space="preserve"> ambos con resultados significativos</w:t>
      </w:r>
      <w:r w:rsidRPr="00180258">
        <w:rPr>
          <w:rFonts w:ascii="Arial" w:hAnsi="Arial" w:cs="Arial"/>
          <w:sz w:val="24"/>
          <w:szCs w:val="24"/>
        </w:rPr>
        <w:t xml:space="preserve">. El factor cervical se presentó con un 11 % en la infertilidad primaria y un 2 % en la secundaria. El factor ovárico </w:t>
      </w:r>
      <w:r w:rsidR="00BA77B8" w:rsidRPr="00180258">
        <w:rPr>
          <w:rFonts w:ascii="Arial" w:hAnsi="Arial" w:cs="Arial"/>
          <w:sz w:val="24"/>
          <w:szCs w:val="24"/>
        </w:rPr>
        <w:t>predominó</w:t>
      </w:r>
      <w:r w:rsidRPr="00180258">
        <w:rPr>
          <w:rFonts w:ascii="Arial" w:hAnsi="Arial" w:cs="Arial"/>
          <w:sz w:val="24"/>
          <w:szCs w:val="24"/>
        </w:rPr>
        <w:t xml:space="preserve"> en la infertilidad secundaria con 15,6 %. Es de destacar que el factor masculino asociado estuvo presente en el 11 % de los casos.</w:t>
      </w:r>
    </w:p>
    <w:p w:rsidR="00CF4152" w:rsidRDefault="00CF4152" w:rsidP="00797188">
      <w:pPr>
        <w:jc w:val="both"/>
        <w:rPr>
          <w:rFonts w:ascii="Arial" w:hAnsi="Arial" w:cs="Arial"/>
          <w:sz w:val="24"/>
          <w:szCs w:val="24"/>
          <w:lang w:val="es-PE"/>
        </w:rPr>
      </w:pPr>
    </w:p>
    <w:p w:rsidR="00CF4152" w:rsidRDefault="00CF4152" w:rsidP="00797188">
      <w:pPr>
        <w:jc w:val="both"/>
        <w:rPr>
          <w:rFonts w:ascii="Arial" w:hAnsi="Arial" w:cs="Arial"/>
          <w:sz w:val="24"/>
          <w:szCs w:val="24"/>
          <w:lang w:val="es-PE"/>
        </w:rPr>
      </w:pPr>
    </w:p>
    <w:p w:rsidR="00CF4152" w:rsidRDefault="00CF4152" w:rsidP="00797188">
      <w:pPr>
        <w:jc w:val="both"/>
        <w:rPr>
          <w:rFonts w:ascii="Arial" w:hAnsi="Arial" w:cs="Arial"/>
          <w:sz w:val="24"/>
          <w:szCs w:val="24"/>
          <w:lang w:val="es-PE"/>
        </w:rPr>
      </w:pPr>
    </w:p>
    <w:tbl>
      <w:tblPr>
        <w:tblpPr w:leftFromText="141" w:rightFromText="141" w:horzAnchor="margin" w:tblpXSpec="center" w:tblpY="550"/>
        <w:tblW w:w="8581" w:type="dxa"/>
        <w:tblCellMar>
          <w:left w:w="70" w:type="dxa"/>
          <w:right w:w="70" w:type="dxa"/>
        </w:tblCellMar>
        <w:tblLook w:val="04A0" w:firstRow="1" w:lastRow="0" w:firstColumn="1" w:lastColumn="0" w:noHBand="0" w:noVBand="1"/>
      </w:tblPr>
      <w:tblGrid>
        <w:gridCol w:w="2865"/>
        <w:gridCol w:w="994"/>
        <w:gridCol w:w="779"/>
        <w:gridCol w:w="994"/>
        <w:gridCol w:w="812"/>
        <w:gridCol w:w="183"/>
        <w:gridCol w:w="1241"/>
        <w:gridCol w:w="713"/>
      </w:tblGrid>
      <w:tr w:rsidR="00CF4152" w:rsidRPr="00A81DD3" w:rsidTr="00FD67C8">
        <w:trPr>
          <w:trHeight w:val="478"/>
        </w:trPr>
        <w:tc>
          <w:tcPr>
            <w:tcW w:w="2865" w:type="dxa"/>
            <w:vMerge w:val="restart"/>
            <w:tcBorders>
              <w:top w:val="single" w:sz="12" w:space="0" w:color="auto"/>
              <w:left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lastRenderedPageBreak/>
              <w:t>Factor causal</w:t>
            </w:r>
          </w:p>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 xml:space="preserve">N=173  </w:t>
            </w:r>
          </w:p>
        </w:tc>
        <w:tc>
          <w:tcPr>
            <w:tcW w:w="3531" w:type="dxa"/>
            <w:gridSpan w:val="4"/>
            <w:tcBorders>
              <w:top w:val="single" w:sz="12" w:space="0" w:color="auto"/>
              <w:left w:val="nil"/>
              <w:bottom w:val="nil"/>
              <w:right w:val="nil"/>
            </w:tcBorders>
            <w:shd w:val="clear" w:color="auto" w:fill="auto"/>
            <w:noWrap/>
            <w:vAlign w:val="center"/>
            <w:hideMark/>
          </w:tcPr>
          <w:p w:rsidR="00CF4152" w:rsidRPr="00A81DD3" w:rsidRDefault="00797188" w:rsidP="00797188">
            <w:pPr>
              <w:spacing w:line="240" w:lineRule="auto"/>
              <w:jc w:val="both"/>
              <w:rPr>
                <w:rFonts w:ascii="Arial" w:hAnsi="Arial" w:cs="Arial"/>
                <w:sz w:val="24"/>
                <w:szCs w:val="24"/>
                <w:lang w:val="es-PE"/>
              </w:rPr>
            </w:pPr>
            <w:r>
              <w:rPr>
                <w:rFonts w:ascii="Arial" w:hAnsi="Arial" w:cs="Arial"/>
                <w:sz w:val="24"/>
                <w:szCs w:val="24"/>
                <w:lang w:val="es-PE"/>
              </w:rPr>
              <w:t xml:space="preserve">      </w:t>
            </w:r>
            <w:r w:rsidR="00CF4152" w:rsidRPr="00A81DD3">
              <w:rPr>
                <w:rFonts w:ascii="Arial" w:hAnsi="Arial" w:cs="Arial"/>
                <w:sz w:val="24"/>
                <w:szCs w:val="24"/>
                <w:lang w:val="es-PE"/>
              </w:rPr>
              <w:t>Tipo de infertilidad</w:t>
            </w:r>
          </w:p>
        </w:tc>
        <w:tc>
          <w:tcPr>
            <w:tcW w:w="188" w:type="dxa"/>
            <w:tcBorders>
              <w:top w:val="single" w:sz="12" w:space="0" w:color="auto"/>
              <w:left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997" w:type="dxa"/>
            <w:gridSpan w:val="2"/>
            <w:vMerge w:val="restart"/>
            <w:tcBorders>
              <w:top w:val="single" w:sz="12" w:space="0" w:color="auto"/>
              <w:left w:val="nil"/>
              <w:right w:val="nil"/>
            </w:tcBorders>
            <w:vAlign w:val="center"/>
          </w:tcPr>
          <w:p w:rsidR="00CF4152" w:rsidRPr="00A81DD3" w:rsidRDefault="00C61FA7" w:rsidP="00797188">
            <w:pPr>
              <w:spacing w:line="240" w:lineRule="auto"/>
              <w:jc w:val="both"/>
              <w:rPr>
                <w:rFonts w:ascii="Arial" w:hAnsi="Arial" w:cs="Arial"/>
                <w:sz w:val="24"/>
                <w:szCs w:val="24"/>
                <w:lang w:val="es-PE"/>
              </w:rPr>
            </w:pPr>
            <w:r>
              <w:rPr>
                <w:rFonts w:ascii="Arial" w:hAnsi="Arial" w:cs="Arial"/>
                <w:sz w:val="24"/>
                <w:szCs w:val="24"/>
                <w:lang w:val="es-PE"/>
              </w:rPr>
              <w:t>Total</w:t>
            </w:r>
          </w:p>
        </w:tc>
      </w:tr>
      <w:tr w:rsidR="00CF4152" w:rsidRPr="00A81DD3" w:rsidTr="00FD67C8">
        <w:trPr>
          <w:trHeight w:val="478"/>
        </w:trPr>
        <w:tc>
          <w:tcPr>
            <w:tcW w:w="2865" w:type="dxa"/>
            <w:vMerge/>
            <w:tcBorders>
              <w:left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p>
        </w:tc>
        <w:tc>
          <w:tcPr>
            <w:tcW w:w="1749" w:type="dxa"/>
            <w:gridSpan w:val="2"/>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Primaria</w:t>
            </w:r>
          </w:p>
        </w:tc>
        <w:tc>
          <w:tcPr>
            <w:tcW w:w="1781" w:type="dxa"/>
            <w:gridSpan w:val="2"/>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Secundaria</w:t>
            </w:r>
          </w:p>
        </w:tc>
        <w:tc>
          <w:tcPr>
            <w:tcW w:w="188" w:type="dxa"/>
            <w:tcBorders>
              <w:left w:val="nil"/>
              <w:bottom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997" w:type="dxa"/>
            <w:gridSpan w:val="2"/>
            <w:vMerge/>
            <w:tcBorders>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p>
        </w:tc>
      </w:tr>
      <w:tr w:rsidR="00FD67C8" w:rsidRPr="00A81DD3" w:rsidTr="00FD67C8">
        <w:trPr>
          <w:trHeight w:val="478"/>
        </w:trPr>
        <w:tc>
          <w:tcPr>
            <w:tcW w:w="2865" w:type="dxa"/>
            <w:vMerge/>
            <w:tcBorders>
              <w:left w:val="nil"/>
              <w:bottom w:val="single" w:sz="4"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p>
        </w:tc>
        <w:tc>
          <w:tcPr>
            <w:tcW w:w="970" w:type="dxa"/>
            <w:tcBorders>
              <w:top w:val="nil"/>
              <w:left w:val="nil"/>
              <w:bottom w:val="single" w:sz="4"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Número</w:t>
            </w:r>
          </w:p>
        </w:tc>
        <w:tc>
          <w:tcPr>
            <w:tcW w:w="779" w:type="dxa"/>
            <w:tcBorders>
              <w:top w:val="nil"/>
              <w:left w:val="nil"/>
              <w:bottom w:val="single" w:sz="4"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w:t>
            </w:r>
          </w:p>
        </w:tc>
        <w:tc>
          <w:tcPr>
            <w:tcW w:w="970" w:type="dxa"/>
            <w:tcBorders>
              <w:top w:val="nil"/>
              <w:left w:val="nil"/>
              <w:bottom w:val="single" w:sz="4"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Número</w:t>
            </w:r>
          </w:p>
        </w:tc>
        <w:tc>
          <w:tcPr>
            <w:tcW w:w="811" w:type="dxa"/>
            <w:tcBorders>
              <w:top w:val="nil"/>
              <w:left w:val="nil"/>
              <w:bottom w:val="single" w:sz="4"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w:t>
            </w:r>
          </w:p>
        </w:tc>
        <w:tc>
          <w:tcPr>
            <w:tcW w:w="188" w:type="dxa"/>
            <w:tcBorders>
              <w:top w:val="nil"/>
              <w:left w:val="nil"/>
              <w:bottom w:val="single" w:sz="4" w:space="0" w:color="auto"/>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nil"/>
              <w:left w:val="nil"/>
              <w:bottom w:val="single" w:sz="4" w:space="0" w:color="auto"/>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Número</w:t>
            </w:r>
          </w:p>
        </w:tc>
        <w:tc>
          <w:tcPr>
            <w:tcW w:w="726" w:type="dxa"/>
            <w:tcBorders>
              <w:top w:val="nil"/>
              <w:left w:val="nil"/>
              <w:bottom w:val="single" w:sz="4" w:space="0" w:color="auto"/>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w:t>
            </w:r>
          </w:p>
        </w:tc>
      </w:tr>
      <w:tr w:rsidR="00FD67C8" w:rsidRPr="00A81DD3" w:rsidTr="00FD67C8">
        <w:trPr>
          <w:trHeight w:val="478"/>
        </w:trPr>
        <w:tc>
          <w:tcPr>
            <w:tcW w:w="2865" w:type="dxa"/>
            <w:tcBorders>
              <w:top w:val="single" w:sz="4" w:space="0" w:color="auto"/>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Factor ovárico</w:t>
            </w:r>
          </w:p>
        </w:tc>
        <w:tc>
          <w:tcPr>
            <w:tcW w:w="970" w:type="dxa"/>
            <w:tcBorders>
              <w:top w:val="single" w:sz="4" w:space="0" w:color="auto"/>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22</w:t>
            </w:r>
          </w:p>
        </w:tc>
        <w:tc>
          <w:tcPr>
            <w:tcW w:w="779" w:type="dxa"/>
            <w:tcBorders>
              <w:top w:val="single" w:sz="4" w:space="0" w:color="auto"/>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12,7</w:t>
            </w:r>
          </w:p>
        </w:tc>
        <w:tc>
          <w:tcPr>
            <w:tcW w:w="970" w:type="dxa"/>
            <w:tcBorders>
              <w:top w:val="single" w:sz="4" w:space="0" w:color="auto"/>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27</w:t>
            </w:r>
          </w:p>
        </w:tc>
        <w:tc>
          <w:tcPr>
            <w:tcW w:w="811" w:type="dxa"/>
            <w:tcBorders>
              <w:top w:val="single" w:sz="4" w:space="0" w:color="auto"/>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15,6</w:t>
            </w:r>
          </w:p>
        </w:tc>
        <w:tc>
          <w:tcPr>
            <w:tcW w:w="188" w:type="dxa"/>
            <w:tcBorders>
              <w:top w:val="single" w:sz="4" w:space="0" w:color="auto"/>
              <w:left w:val="nil"/>
              <w:bottom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single" w:sz="4" w:space="0" w:color="auto"/>
              <w:left w:val="nil"/>
              <w:bottom w:val="nil"/>
              <w:right w:val="nil"/>
            </w:tcBorders>
            <w:vAlign w:val="center"/>
          </w:tcPr>
          <w:p w:rsidR="00CF4152" w:rsidRPr="00A81DD3" w:rsidRDefault="00314A26" w:rsidP="00797188">
            <w:pPr>
              <w:spacing w:line="240" w:lineRule="auto"/>
              <w:jc w:val="both"/>
              <w:rPr>
                <w:rFonts w:ascii="Arial" w:hAnsi="Arial" w:cs="Arial"/>
                <w:sz w:val="24"/>
                <w:szCs w:val="24"/>
                <w:lang w:val="es-PE"/>
              </w:rPr>
            </w:pPr>
            <w:r>
              <w:rPr>
                <w:rFonts w:ascii="Arial" w:hAnsi="Arial" w:cs="Arial"/>
                <w:sz w:val="24"/>
                <w:szCs w:val="24"/>
                <w:lang w:val="es-PE"/>
              </w:rPr>
              <w:t>49</w:t>
            </w:r>
          </w:p>
        </w:tc>
        <w:tc>
          <w:tcPr>
            <w:tcW w:w="726" w:type="dxa"/>
            <w:tcBorders>
              <w:top w:val="single" w:sz="4" w:space="0" w:color="auto"/>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28,3</w:t>
            </w:r>
          </w:p>
        </w:tc>
      </w:tr>
      <w:tr w:rsidR="00FD67C8" w:rsidRPr="00A81DD3" w:rsidTr="00FD67C8">
        <w:trPr>
          <w:trHeight w:val="478"/>
        </w:trPr>
        <w:tc>
          <w:tcPr>
            <w:tcW w:w="2865"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Factor uterino</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5</w:t>
            </w:r>
          </w:p>
        </w:tc>
        <w:tc>
          <w:tcPr>
            <w:tcW w:w="779"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2,9</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w:t>
            </w:r>
          </w:p>
        </w:tc>
        <w:tc>
          <w:tcPr>
            <w:tcW w:w="811"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1,2</w:t>
            </w:r>
          </w:p>
        </w:tc>
        <w:tc>
          <w:tcPr>
            <w:tcW w:w="188" w:type="dxa"/>
            <w:tcBorders>
              <w:top w:val="nil"/>
              <w:left w:val="nil"/>
              <w:bottom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nil"/>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7</w:t>
            </w:r>
          </w:p>
        </w:tc>
        <w:tc>
          <w:tcPr>
            <w:tcW w:w="726" w:type="dxa"/>
            <w:tcBorders>
              <w:top w:val="nil"/>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4,0</w:t>
            </w:r>
          </w:p>
        </w:tc>
      </w:tr>
      <w:tr w:rsidR="00FD67C8" w:rsidRPr="00A81DD3" w:rsidTr="00FD67C8">
        <w:trPr>
          <w:trHeight w:val="478"/>
        </w:trPr>
        <w:tc>
          <w:tcPr>
            <w:tcW w:w="2865"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Factor tubo-peritoneal</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10</w:t>
            </w:r>
          </w:p>
        </w:tc>
        <w:tc>
          <w:tcPr>
            <w:tcW w:w="779"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5,8</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20</w:t>
            </w:r>
          </w:p>
        </w:tc>
        <w:tc>
          <w:tcPr>
            <w:tcW w:w="811"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11,6</w:t>
            </w:r>
          </w:p>
        </w:tc>
        <w:tc>
          <w:tcPr>
            <w:tcW w:w="188" w:type="dxa"/>
            <w:tcBorders>
              <w:top w:val="nil"/>
              <w:left w:val="nil"/>
              <w:bottom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nil"/>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30</w:t>
            </w:r>
          </w:p>
        </w:tc>
        <w:tc>
          <w:tcPr>
            <w:tcW w:w="726" w:type="dxa"/>
            <w:tcBorders>
              <w:top w:val="nil"/>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17,3</w:t>
            </w:r>
          </w:p>
        </w:tc>
      </w:tr>
      <w:tr w:rsidR="00FD67C8" w:rsidRPr="00A81DD3" w:rsidTr="00FD67C8">
        <w:trPr>
          <w:trHeight w:val="478"/>
        </w:trPr>
        <w:tc>
          <w:tcPr>
            <w:tcW w:w="2865"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Factor cervical</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19</w:t>
            </w:r>
          </w:p>
        </w:tc>
        <w:tc>
          <w:tcPr>
            <w:tcW w:w="779"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11,0</w:t>
            </w:r>
          </w:p>
        </w:tc>
        <w:tc>
          <w:tcPr>
            <w:tcW w:w="970" w:type="dxa"/>
            <w:tcBorders>
              <w:top w:val="nil"/>
              <w:left w:val="nil"/>
              <w:bottom w:val="nil"/>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38</w:t>
            </w:r>
          </w:p>
        </w:tc>
        <w:tc>
          <w:tcPr>
            <w:tcW w:w="811" w:type="dxa"/>
            <w:tcBorders>
              <w:top w:val="nil"/>
              <w:left w:val="nil"/>
              <w:bottom w:val="nil"/>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22,0</w:t>
            </w:r>
          </w:p>
        </w:tc>
        <w:tc>
          <w:tcPr>
            <w:tcW w:w="188" w:type="dxa"/>
            <w:tcBorders>
              <w:top w:val="nil"/>
              <w:left w:val="nil"/>
              <w:bottom w:val="nil"/>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nil"/>
              <w:left w:val="nil"/>
              <w:bottom w:val="nil"/>
              <w:right w:val="nil"/>
            </w:tcBorders>
            <w:vAlign w:val="center"/>
          </w:tcPr>
          <w:p w:rsidR="00CF4152" w:rsidRPr="00A81DD3" w:rsidRDefault="007D29B6" w:rsidP="00797188">
            <w:pPr>
              <w:spacing w:line="240" w:lineRule="auto"/>
              <w:jc w:val="both"/>
              <w:rPr>
                <w:rFonts w:ascii="Arial" w:hAnsi="Arial" w:cs="Arial"/>
                <w:sz w:val="24"/>
                <w:szCs w:val="24"/>
                <w:lang w:val="es-PE"/>
              </w:rPr>
            </w:pPr>
            <w:r>
              <w:rPr>
                <w:rFonts w:ascii="Arial" w:hAnsi="Arial" w:cs="Arial"/>
                <w:sz w:val="24"/>
                <w:szCs w:val="24"/>
                <w:lang w:val="es-PE"/>
              </w:rPr>
              <w:t>57</w:t>
            </w:r>
          </w:p>
        </w:tc>
        <w:tc>
          <w:tcPr>
            <w:tcW w:w="726" w:type="dxa"/>
            <w:tcBorders>
              <w:top w:val="nil"/>
              <w:left w:val="nil"/>
              <w:bottom w:val="nil"/>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32,9</w:t>
            </w:r>
          </w:p>
        </w:tc>
      </w:tr>
      <w:tr w:rsidR="00FD67C8" w:rsidRPr="00A81DD3" w:rsidTr="00FD67C8">
        <w:trPr>
          <w:trHeight w:val="457"/>
        </w:trPr>
        <w:tc>
          <w:tcPr>
            <w:tcW w:w="2865" w:type="dxa"/>
            <w:tcBorders>
              <w:top w:val="nil"/>
              <w:left w:val="nil"/>
              <w:bottom w:val="single" w:sz="12"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Factor masculino asociado</w:t>
            </w:r>
          </w:p>
        </w:tc>
        <w:tc>
          <w:tcPr>
            <w:tcW w:w="970" w:type="dxa"/>
            <w:tcBorders>
              <w:top w:val="nil"/>
              <w:left w:val="nil"/>
              <w:bottom w:val="single" w:sz="12"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8</w:t>
            </w:r>
          </w:p>
        </w:tc>
        <w:tc>
          <w:tcPr>
            <w:tcW w:w="779" w:type="dxa"/>
            <w:tcBorders>
              <w:top w:val="nil"/>
              <w:left w:val="nil"/>
              <w:bottom w:val="single" w:sz="12" w:space="0" w:color="auto"/>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4,6</w:t>
            </w:r>
          </w:p>
        </w:tc>
        <w:tc>
          <w:tcPr>
            <w:tcW w:w="970" w:type="dxa"/>
            <w:tcBorders>
              <w:top w:val="nil"/>
              <w:left w:val="nil"/>
              <w:bottom w:val="single" w:sz="12" w:space="0" w:color="auto"/>
              <w:right w:val="nil"/>
            </w:tcBorders>
            <w:shd w:val="clear" w:color="auto" w:fill="auto"/>
            <w:noWrap/>
            <w:vAlign w:val="center"/>
            <w:hideMark/>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11</w:t>
            </w:r>
          </w:p>
        </w:tc>
        <w:tc>
          <w:tcPr>
            <w:tcW w:w="811" w:type="dxa"/>
            <w:tcBorders>
              <w:top w:val="nil"/>
              <w:left w:val="nil"/>
              <w:bottom w:val="single" w:sz="12" w:space="0" w:color="auto"/>
              <w:right w:val="nil"/>
            </w:tcBorders>
            <w:shd w:val="clear" w:color="auto" w:fill="auto"/>
            <w:noWrap/>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6,4</w:t>
            </w:r>
          </w:p>
        </w:tc>
        <w:tc>
          <w:tcPr>
            <w:tcW w:w="188" w:type="dxa"/>
            <w:tcBorders>
              <w:top w:val="nil"/>
              <w:left w:val="nil"/>
              <w:bottom w:val="single" w:sz="12" w:space="0" w:color="auto"/>
              <w:right w:val="nil"/>
            </w:tcBorders>
          </w:tcPr>
          <w:p w:rsidR="00CF4152" w:rsidRPr="00A81DD3" w:rsidRDefault="00CF4152" w:rsidP="00797188">
            <w:pPr>
              <w:spacing w:line="240" w:lineRule="auto"/>
              <w:jc w:val="both"/>
              <w:rPr>
                <w:rFonts w:ascii="Arial" w:hAnsi="Arial" w:cs="Arial"/>
                <w:sz w:val="24"/>
                <w:szCs w:val="24"/>
                <w:lang w:val="es-PE"/>
              </w:rPr>
            </w:pPr>
          </w:p>
        </w:tc>
        <w:tc>
          <w:tcPr>
            <w:tcW w:w="1271" w:type="dxa"/>
            <w:tcBorders>
              <w:top w:val="nil"/>
              <w:left w:val="nil"/>
              <w:bottom w:val="single" w:sz="12" w:space="0" w:color="auto"/>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19</w:t>
            </w:r>
          </w:p>
        </w:tc>
        <w:tc>
          <w:tcPr>
            <w:tcW w:w="726" w:type="dxa"/>
            <w:tcBorders>
              <w:top w:val="nil"/>
              <w:left w:val="nil"/>
              <w:bottom w:val="single" w:sz="12" w:space="0" w:color="auto"/>
              <w:right w:val="nil"/>
            </w:tcBorders>
            <w:vAlign w:val="center"/>
          </w:tcPr>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11,0</w:t>
            </w:r>
          </w:p>
        </w:tc>
      </w:tr>
    </w:tbl>
    <w:p w:rsidR="00CF4152" w:rsidRPr="00A81DD3" w:rsidRDefault="00CF4152" w:rsidP="00797188">
      <w:pPr>
        <w:spacing w:line="240" w:lineRule="auto"/>
        <w:jc w:val="both"/>
        <w:rPr>
          <w:rFonts w:ascii="Arial" w:hAnsi="Arial" w:cs="Arial"/>
          <w:sz w:val="24"/>
          <w:szCs w:val="24"/>
          <w:lang w:val="es-PE"/>
        </w:rPr>
      </w:pPr>
      <w:r w:rsidRPr="00A81DD3">
        <w:rPr>
          <w:rFonts w:ascii="Arial" w:hAnsi="Arial" w:cs="Arial"/>
          <w:sz w:val="24"/>
          <w:szCs w:val="24"/>
          <w:lang w:val="es-PE"/>
        </w:rPr>
        <w:t xml:space="preserve">Tabla 2. Comportamiento de los factores etiológicos según tipo de infertilidad </w:t>
      </w:r>
    </w:p>
    <w:p w:rsidR="00CF4152" w:rsidRPr="00A81DD3" w:rsidRDefault="00AF084B" w:rsidP="00797188">
      <w:pPr>
        <w:spacing w:line="276" w:lineRule="auto"/>
        <w:jc w:val="both"/>
        <w:rPr>
          <w:rFonts w:ascii="Arial" w:hAnsi="Arial" w:cs="Arial"/>
          <w:sz w:val="20"/>
          <w:szCs w:val="20"/>
          <w:lang w:val="es-PE"/>
        </w:rPr>
      </w:pPr>
      <w:r>
        <w:rPr>
          <w:rFonts w:ascii="Arial" w:hAnsi="Arial" w:cs="Arial"/>
          <w:sz w:val="20"/>
          <w:szCs w:val="20"/>
          <w:lang w:val="es-PE"/>
        </w:rPr>
        <w:t xml:space="preserve">    </w:t>
      </w:r>
      <w:r w:rsidR="00CF4152" w:rsidRPr="00A81DD3">
        <w:rPr>
          <w:rFonts w:ascii="Arial" w:hAnsi="Arial" w:cs="Arial"/>
          <w:sz w:val="20"/>
          <w:szCs w:val="20"/>
          <w:lang w:val="es-PE"/>
        </w:rPr>
        <w:t xml:space="preserve">Fuente: Encuesta        </w:t>
      </w:r>
      <w:r w:rsidR="00CF4152">
        <w:rPr>
          <w:rFonts w:ascii="Arial" w:hAnsi="Arial" w:cs="Arial"/>
          <w:sz w:val="20"/>
          <w:szCs w:val="20"/>
          <w:lang w:val="es-PE"/>
        </w:rPr>
        <w:t xml:space="preserve">            </w:t>
      </w:r>
    </w:p>
    <w:p w:rsidR="007A2ECC" w:rsidRPr="00B7449A" w:rsidRDefault="00A25914" w:rsidP="00797188">
      <w:pPr>
        <w:jc w:val="both"/>
        <w:rPr>
          <w:rFonts w:ascii="Arial" w:hAnsi="Arial" w:cs="Arial"/>
          <w:sz w:val="24"/>
          <w:szCs w:val="24"/>
        </w:rPr>
      </w:pPr>
      <w:r w:rsidRPr="00180258">
        <w:rPr>
          <w:rFonts w:ascii="Arial" w:hAnsi="Arial" w:cs="Arial"/>
          <w:sz w:val="24"/>
          <w:szCs w:val="24"/>
        </w:rPr>
        <w:t>En la tabla 3 se relacionaron los estudios realizados según factor etiológico: el seguimiento folicular fue más utilizado en el estudio del factor ovulatorio y se empleó en 138 pacientes (80,5</w:t>
      </w:r>
      <w:r w:rsidR="00E674EA" w:rsidRPr="00180258">
        <w:rPr>
          <w:rFonts w:ascii="Arial" w:hAnsi="Arial" w:cs="Arial"/>
          <w:sz w:val="24"/>
          <w:szCs w:val="24"/>
        </w:rPr>
        <w:t>%).</w:t>
      </w:r>
      <w:r w:rsidRPr="00180258">
        <w:rPr>
          <w:rFonts w:ascii="Arial" w:hAnsi="Arial" w:cs="Arial"/>
          <w:sz w:val="24"/>
          <w:szCs w:val="24"/>
        </w:rPr>
        <w:t xml:space="preserve"> El ciclograma también </w:t>
      </w:r>
      <w:r w:rsidR="00BA77B8" w:rsidRPr="00180258">
        <w:rPr>
          <w:rFonts w:ascii="Arial" w:hAnsi="Arial" w:cs="Arial"/>
          <w:sz w:val="24"/>
          <w:szCs w:val="24"/>
        </w:rPr>
        <w:t xml:space="preserve">resultó </w:t>
      </w:r>
      <w:r w:rsidRPr="00180258">
        <w:rPr>
          <w:rFonts w:ascii="Arial" w:hAnsi="Arial" w:cs="Arial"/>
          <w:sz w:val="24"/>
          <w:szCs w:val="24"/>
        </w:rPr>
        <w:t xml:space="preserve">de gran utilidad y se practicó en 89 féminas para el 52 %. La dosificación de progesterona plasmática se realizó a 76 </w:t>
      </w:r>
      <w:r w:rsidR="00AE2F5C" w:rsidRPr="00180258">
        <w:rPr>
          <w:rFonts w:ascii="Arial" w:hAnsi="Arial" w:cs="Arial"/>
          <w:sz w:val="24"/>
          <w:szCs w:val="24"/>
        </w:rPr>
        <w:t xml:space="preserve">mujeres </w:t>
      </w:r>
      <w:r w:rsidRPr="00180258">
        <w:rPr>
          <w:rFonts w:ascii="Arial" w:hAnsi="Arial" w:cs="Arial"/>
          <w:sz w:val="24"/>
          <w:szCs w:val="24"/>
        </w:rPr>
        <w:t xml:space="preserve">al igual que la dosificación de hormonas hipofisarias. La </w:t>
      </w:r>
      <w:r w:rsidR="003351A8" w:rsidRPr="00180258">
        <w:rPr>
          <w:rFonts w:ascii="Arial" w:hAnsi="Arial" w:cs="Arial"/>
          <w:sz w:val="24"/>
          <w:szCs w:val="24"/>
        </w:rPr>
        <w:t>histerosalpingografía</w:t>
      </w:r>
      <w:r w:rsidRPr="00180258">
        <w:rPr>
          <w:rFonts w:ascii="Arial" w:hAnsi="Arial" w:cs="Arial"/>
          <w:sz w:val="24"/>
          <w:szCs w:val="24"/>
        </w:rPr>
        <w:t xml:space="preserve"> (HSG), fue la prueba más utilizada para el estudio del factor </w:t>
      </w:r>
      <w:r w:rsidR="003351A8" w:rsidRPr="00180258">
        <w:rPr>
          <w:rFonts w:ascii="Arial" w:hAnsi="Arial" w:cs="Arial"/>
          <w:sz w:val="24"/>
          <w:szCs w:val="24"/>
        </w:rPr>
        <w:t>tubo peritoneal</w:t>
      </w:r>
      <w:r w:rsidR="00AE2F5C" w:rsidRPr="00180258">
        <w:rPr>
          <w:rFonts w:ascii="Arial" w:hAnsi="Arial" w:cs="Arial"/>
          <w:sz w:val="24"/>
          <w:szCs w:val="24"/>
        </w:rPr>
        <w:t xml:space="preserve"> y </w:t>
      </w:r>
      <w:r w:rsidRPr="00180258">
        <w:rPr>
          <w:rFonts w:ascii="Arial" w:hAnsi="Arial" w:cs="Arial"/>
          <w:sz w:val="24"/>
          <w:szCs w:val="24"/>
        </w:rPr>
        <w:t xml:space="preserve">se </w:t>
      </w:r>
      <w:r w:rsidR="00E674EA" w:rsidRPr="00180258">
        <w:rPr>
          <w:rFonts w:ascii="Arial" w:hAnsi="Arial" w:cs="Arial"/>
          <w:sz w:val="24"/>
          <w:szCs w:val="24"/>
        </w:rPr>
        <w:t>les</w:t>
      </w:r>
      <w:r w:rsidRPr="00180258">
        <w:rPr>
          <w:rFonts w:ascii="Arial" w:hAnsi="Arial" w:cs="Arial"/>
          <w:sz w:val="24"/>
          <w:szCs w:val="24"/>
        </w:rPr>
        <w:t xml:space="preserve"> practicó a 128 </w:t>
      </w:r>
      <w:r w:rsidR="00AE2F5C" w:rsidRPr="00180258">
        <w:rPr>
          <w:rFonts w:ascii="Arial" w:hAnsi="Arial" w:cs="Arial"/>
          <w:sz w:val="24"/>
          <w:szCs w:val="24"/>
        </w:rPr>
        <w:t xml:space="preserve">de ellas </w:t>
      </w:r>
      <w:r w:rsidR="003351A8" w:rsidRPr="00180258">
        <w:rPr>
          <w:rFonts w:ascii="Arial" w:hAnsi="Arial" w:cs="Arial"/>
          <w:sz w:val="24"/>
          <w:szCs w:val="24"/>
        </w:rPr>
        <w:t>(50</w:t>
      </w:r>
      <w:r w:rsidRPr="00180258">
        <w:rPr>
          <w:rFonts w:ascii="Arial" w:hAnsi="Arial" w:cs="Arial"/>
          <w:sz w:val="24"/>
          <w:szCs w:val="24"/>
        </w:rPr>
        <w:t>%).</w:t>
      </w:r>
      <w:r w:rsidR="00416B06">
        <w:rPr>
          <w:rFonts w:ascii="Arial" w:hAnsi="Arial" w:cs="Arial"/>
          <w:sz w:val="24"/>
          <w:szCs w:val="24"/>
        </w:rPr>
        <w:t xml:space="preserve"> </w:t>
      </w:r>
      <w:r w:rsidR="00416B06" w:rsidRPr="00180258">
        <w:rPr>
          <w:rFonts w:ascii="Arial" w:hAnsi="Arial" w:cs="Arial"/>
          <w:sz w:val="24"/>
          <w:szCs w:val="24"/>
        </w:rPr>
        <w:t>En relación con el factor uterino la ultrasonografía fue la técnica más empleada realizándolo a 139 pacientes (80,5 %). El estudio microbiológico y el espermiograma</w:t>
      </w:r>
      <w:r w:rsidR="001F7BDF">
        <w:rPr>
          <w:rFonts w:ascii="Arial" w:hAnsi="Arial" w:cs="Arial"/>
          <w:sz w:val="24"/>
          <w:szCs w:val="24"/>
        </w:rPr>
        <w:t xml:space="preserve"> </w:t>
      </w:r>
      <w:r w:rsidR="00416B06" w:rsidRPr="00180258">
        <w:rPr>
          <w:rFonts w:ascii="Arial" w:hAnsi="Arial" w:cs="Arial"/>
          <w:sz w:val="24"/>
          <w:szCs w:val="24"/>
        </w:rPr>
        <w:t>se le practicó al</w:t>
      </w:r>
      <w:r w:rsidR="00425413">
        <w:rPr>
          <w:rFonts w:ascii="Arial" w:hAnsi="Arial" w:cs="Arial"/>
          <w:sz w:val="24"/>
          <w:szCs w:val="24"/>
        </w:rPr>
        <w:t xml:space="preserve"> </w:t>
      </w:r>
      <w:r w:rsidR="00416B06" w:rsidRPr="00180258">
        <w:rPr>
          <w:rFonts w:ascii="Arial" w:hAnsi="Arial" w:cs="Arial"/>
          <w:sz w:val="24"/>
          <w:szCs w:val="24"/>
        </w:rPr>
        <w:t>100% de la muestra como parte del estudio del factor cérvicovaginal</w:t>
      </w:r>
      <w:r w:rsidR="00416B06">
        <w:rPr>
          <w:rFonts w:ascii="Arial" w:hAnsi="Arial" w:cs="Arial"/>
          <w:sz w:val="24"/>
          <w:szCs w:val="24"/>
        </w:rPr>
        <w:t xml:space="preserve"> </w:t>
      </w:r>
      <w:r w:rsidR="00416B06" w:rsidRPr="00180258">
        <w:rPr>
          <w:rFonts w:ascii="Arial" w:hAnsi="Arial" w:cs="Arial"/>
          <w:sz w:val="24"/>
          <w:szCs w:val="24"/>
        </w:rPr>
        <w:t>y masculino respectivamente; y el test poscoital se le realizó al 47,2 %. Además, como parte del estudio del factor masculino se le realizó espermocultiv</w:t>
      </w:r>
      <w:r w:rsidR="007D4C4D">
        <w:rPr>
          <w:rFonts w:ascii="Arial" w:hAnsi="Arial" w:cs="Arial"/>
          <w:sz w:val="24"/>
          <w:szCs w:val="24"/>
        </w:rPr>
        <w:t>o a 76 pacientes para un 44,4%.</w:t>
      </w:r>
    </w:p>
    <w:p w:rsidR="00416B06" w:rsidRDefault="00416B06" w:rsidP="00797188">
      <w:pPr>
        <w:jc w:val="both"/>
        <w:rPr>
          <w:rFonts w:ascii="Arial" w:hAnsi="Arial" w:cs="Arial"/>
          <w:sz w:val="24"/>
          <w:lang w:val="es-PE"/>
        </w:rPr>
      </w:pPr>
      <w:r w:rsidRPr="00E502B5">
        <w:rPr>
          <w:rFonts w:ascii="Arial" w:hAnsi="Arial" w:cs="Arial"/>
          <w:sz w:val="24"/>
          <w:lang w:val="es-PE"/>
        </w:rPr>
        <w:t>Tabla 3. Estudios realizados según factores etiológicos</w:t>
      </w:r>
    </w:p>
    <w:p w:rsidR="00D85838" w:rsidRDefault="00D85838" w:rsidP="00797188">
      <w:pPr>
        <w:jc w:val="both"/>
        <w:rPr>
          <w:rFonts w:ascii="Arial" w:hAnsi="Arial" w:cs="Arial"/>
          <w:sz w:val="24"/>
          <w:lang w:val="es-PE"/>
        </w:rPr>
      </w:pPr>
    </w:p>
    <w:p w:rsidR="00D85838" w:rsidRDefault="00D85838" w:rsidP="00797188">
      <w:pPr>
        <w:jc w:val="both"/>
        <w:rPr>
          <w:rFonts w:ascii="Arial" w:hAnsi="Arial" w:cs="Arial"/>
          <w:sz w:val="24"/>
          <w:lang w:val="es-PE"/>
        </w:rPr>
      </w:pPr>
    </w:p>
    <w:p w:rsidR="00D85838" w:rsidRDefault="00D85838" w:rsidP="00797188">
      <w:pPr>
        <w:jc w:val="both"/>
        <w:rPr>
          <w:rFonts w:ascii="Arial" w:hAnsi="Arial" w:cs="Arial"/>
          <w:sz w:val="24"/>
          <w:lang w:val="es-PE"/>
        </w:rPr>
      </w:pPr>
    </w:p>
    <w:p w:rsidR="00D85838" w:rsidRDefault="00D85838" w:rsidP="00797188">
      <w:pPr>
        <w:jc w:val="both"/>
        <w:rPr>
          <w:rFonts w:ascii="Arial" w:hAnsi="Arial" w:cs="Arial"/>
          <w:sz w:val="24"/>
          <w:lang w:val="es-PE"/>
        </w:rPr>
      </w:pPr>
    </w:p>
    <w:p w:rsidR="00D85838" w:rsidRDefault="00D85838" w:rsidP="00797188">
      <w:pPr>
        <w:jc w:val="both"/>
        <w:rPr>
          <w:rFonts w:ascii="Arial" w:hAnsi="Arial" w:cs="Arial"/>
          <w:sz w:val="24"/>
          <w:lang w:val="es-PE"/>
        </w:rPr>
      </w:pPr>
    </w:p>
    <w:p w:rsidR="00D85838" w:rsidRPr="00E502B5" w:rsidRDefault="00D85838" w:rsidP="00797188">
      <w:pPr>
        <w:jc w:val="both"/>
        <w:rPr>
          <w:rFonts w:ascii="Arial" w:hAnsi="Arial" w:cs="Arial"/>
          <w:sz w:val="24"/>
          <w:lang w:val="es-PE"/>
        </w:rPr>
      </w:pPr>
    </w:p>
    <w:tbl>
      <w:tblPr>
        <w:tblpPr w:leftFromText="141" w:rightFromText="141" w:vertAnchor="text" w:horzAnchor="margin" w:tblpY="319"/>
        <w:tblW w:w="8654" w:type="dxa"/>
        <w:tblLayout w:type="fixed"/>
        <w:tblCellMar>
          <w:left w:w="70" w:type="dxa"/>
          <w:right w:w="70" w:type="dxa"/>
        </w:tblCellMar>
        <w:tblLook w:val="04A0" w:firstRow="1" w:lastRow="0" w:firstColumn="1" w:lastColumn="0" w:noHBand="0" w:noVBand="1"/>
      </w:tblPr>
      <w:tblGrid>
        <w:gridCol w:w="2186"/>
        <w:gridCol w:w="15"/>
        <w:gridCol w:w="3679"/>
        <w:gridCol w:w="1711"/>
        <w:gridCol w:w="1063"/>
      </w:tblGrid>
      <w:tr w:rsidR="00416B06" w:rsidRPr="00E502B5" w:rsidTr="00682417">
        <w:trPr>
          <w:trHeight w:val="272"/>
        </w:trPr>
        <w:tc>
          <w:tcPr>
            <w:tcW w:w="2186" w:type="dxa"/>
            <w:vMerge w:val="restart"/>
            <w:tcBorders>
              <w:top w:val="single" w:sz="12" w:space="0" w:color="auto"/>
            </w:tcBorders>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lastRenderedPageBreak/>
              <w:t>Factor Etiológico</w:t>
            </w:r>
          </w:p>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t>N=173</w:t>
            </w:r>
          </w:p>
        </w:tc>
        <w:tc>
          <w:tcPr>
            <w:tcW w:w="3694" w:type="dxa"/>
            <w:gridSpan w:val="2"/>
            <w:vMerge w:val="restart"/>
            <w:tcBorders>
              <w:top w:val="single" w:sz="12" w:space="0" w:color="auto"/>
            </w:tcBorders>
            <w:shd w:val="clear" w:color="auto" w:fill="auto"/>
            <w:vAlign w:val="center"/>
          </w:tcPr>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t xml:space="preserve">Pruebas realizadas </w:t>
            </w:r>
          </w:p>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p>
        </w:tc>
        <w:tc>
          <w:tcPr>
            <w:tcW w:w="2774" w:type="dxa"/>
            <w:gridSpan w:val="2"/>
            <w:tcBorders>
              <w:top w:val="single" w:sz="12" w:space="0" w:color="auto"/>
            </w:tcBorders>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t>Total</w:t>
            </w:r>
          </w:p>
        </w:tc>
      </w:tr>
      <w:tr w:rsidR="00416B06" w:rsidRPr="00E502B5" w:rsidTr="00682417">
        <w:trPr>
          <w:trHeight w:val="202"/>
        </w:trPr>
        <w:tc>
          <w:tcPr>
            <w:tcW w:w="2186" w:type="dxa"/>
            <w:vMerge/>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94" w:type="dxa"/>
            <w:gridSpan w:val="2"/>
            <w:vMerge/>
            <w:shd w:val="clear" w:color="auto" w:fill="auto"/>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t>Número</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color w:val="000000"/>
                <w:sz w:val="24"/>
                <w:szCs w:val="24"/>
                <w:lang w:val="es-PE" w:eastAsia="es-MX"/>
              </w:rPr>
            </w:pPr>
            <w:r w:rsidRPr="00E502B5">
              <w:rPr>
                <w:rFonts w:ascii="Arial" w:eastAsia="Times New Roman" w:hAnsi="Arial" w:cs="Arial"/>
                <w:color w:val="000000"/>
                <w:sz w:val="24"/>
                <w:szCs w:val="24"/>
                <w:lang w:val="es-PE" w:eastAsia="es-MX"/>
              </w:rPr>
              <w:t>%</w:t>
            </w:r>
          </w:p>
        </w:tc>
      </w:tr>
      <w:tr w:rsidR="00416B06" w:rsidRPr="00E502B5" w:rsidTr="00682417">
        <w:trPr>
          <w:trHeight w:val="362"/>
        </w:trPr>
        <w:tc>
          <w:tcPr>
            <w:tcW w:w="2201" w:type="dxa"/>
            <w:gridSpan w:val="2"/>
            <w:vMerge w:val="restart"/>
            <w:tcBorders>
              <w:top w:val="single" w:sz="4" w:space="0" w:color="auto"/>
            </w:tcBorders>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Factor ovárico</w:t>
            </w:r>
          </w:p>
        </w:tc>
        <w:tc>
          <w:tcPr>
            <w:tcW w:w="3679" w:type="dxa"/>
            <w:tcBorders>
              <w:top w:val="single" w:sz="4" w:space="0" w:color="auto"/>
            </w:tcBorders>
            <w:shd w:val="clear" w:color="auto" w:fill="auto"/>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tcBorders>
              <w:top w:val="single" w:sz="4" w:space="0" w:color="auto"/>
            </w:tcBorders>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063" w:type="dxa"/>
            <w:tcBorders>
              <w:top w:val="single" w:sz="4" w:space="0" w:color="auto"/>
            </w:tcBorders>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r>
      <w:tr w:rsidR="00416B06" w:rsidRPr="00E502B5" w:rsidTr="00682417">
        <w:trPr>
          <w:trHeight w:val="36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Seguimiento folicular</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138</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80,5</w:t>
            </w:r>
          </w:p>
        </w:tc>
      </w:tr>
      <w:tr w:rsidR="00416B06" w:rsidRPr="00E502B5" w:rsidTr="00682417">
        <w:trPr>
          <w:trHeight w:val="36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Ciclograma</w:t>
            </w:r>
          </w:p>
          <w:p w:rsidR="00416B06" w:rsidRPr="00E502B5" w:rsidRDefault="00416B06" w:rsidP="00797188">
            <w:pPr>
              <w:spacing w:after="0" w:line="240" w:lineRule="atLeast"/>
              <w:jc w:val="both"/>
              <w:rPr>
                <w:rFonts w:ascii="Arial" w:eastAsia="Times New Roman" w:hAnsi="Arial" w:cs="Arial"/>
                <w:sz w:val="24"/>
                <w:szCs w:val="24"/>
                <w:lang w:val="es-PE" w:eastAsia="es-MX"/>
              </w:rPr>
            </w:pPr>
          </w:p>
          <w:p w:rsidR="00416B06" w:rsidRPr="00E502B5" w:rsidRDefault="00416B06" w:rsidP="00797188">
            <w:pPr>
              <w:spacing w:after="0" w:line="240" w:lineRule="atLeast"/>
              <w:jc w:val="both"/>
              <w:rPr>
                <w:rFonts w:ascii="Arial" w:eastAsia="Times New Roman" w:hAnsi="Arial" w:cs="Arial"/>
                <w:sz w:val="24"/>
                <w:szCs w:val="24"/>
                <w:lang w:val="es-PE" w:eastAsia="es-MX"/>
              </w:rPr>
            </w:pPr>
          </w:p>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Progesterona plasmática</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89</w:t>
            </w:r>
          </w:p>
          <w:p w:rsidR="00416B06" w:rsidRPr="00E502B5" w:rsidRDefault="00416B06" w:rsidP="00797188">
            <w:pPr>
              <w:spacing w:after="0" w:line="240" w:lineRule="atLeast"/>
              <w:jc w:val="both"/>
              <w:rPr>
                <w:rFonts w:ascii="Arial" w:eastAsia="Times New Roman" w:hAnsi="Arial" w:cs="Arial"/>
                <w:sz w:val="24"/>
                <w:szCs w:val="24"/>
                <w:lang w:val="es-PE" w:eastAsia="es-MX"/>
              </w:rPr>
            </w:pPr>
          </w:p>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76</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52,0</w:t>
            </w:r>
          </w:p>
          <w:p w:rsidR="00416B06" w:rsidRPr="00E502B5" w:rsidRDefault="00416B06" w:rsidP="00797188">
            <w:pPr>
              <w:spacing w:after="0" w:line="240" w:lineRule="atLeast"/>
              <w:jc w:val="both"/>
              <w:rPr>
                <w:rFonts w:ascii="Arial" w:eastAsia="Times New Roman" w:hAnsi="Arial" w:cs="Arial"/>
                <w:sz w:val="24"/>
                <w:szCs w:val="24"/>
                <w:lang w:val="es-PE" w:eastAsia="es-MX"/>
              </w:rPr>
            </w:pPr>
          </w:p>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44,4</w:t>
            </w:r>
          </w:p>
        </w:tc>
      </w:tr>
      <w:tr w:rsidR="00416B06" w:rsidRPr="00E502B5" w:rsidTr="00682417">
        <w:trPr>
          <w:trHeight w:val="34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Dosificación Hormona Foliculoestimulante (FSH), Hormona Luteinizante (LH)</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76</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44,4</w:t>
            </w:r>
          </w:p>
        </w:tc>
      </w:tr>
      <w:tr w:rsidR="00416B06" w:rsidRPr="00E502B5" w:rsidTr="00682417">
        <w:trPr>
          <w:trHeight w:val="596"/>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Dosificación  Testosterona, Hormona estimulante del tiroides (TSH)</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57</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33,3</w:t>
            </w:r>
          </w:p>
        </w:tc>
      </w:tr>
      <w:tr w:rsidR="00416B06" w:rsidRPr="00E502B5" w:rsidTr="00682417">
        <w:trPr>
          <w:trHeight w:val="146"/>
        </w:trPr>
        <w:tc>
          <w:tcPr>
            <w:tcW w:w="2201" w:type="dxa"/>
            <w:gridSpan w:val="2"/>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063"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r>
      <w:tr w:rsidR="00416B06" w:rsidRPr="00E502B5" w:rsidTr="00682417">
        <w:trPr>
          <w:trHeight w:val="362"/>
        </w:trPr>
        <w:tc>
          <w:tcPr>
            <w:tcW w:w="2201" w:type="dxa"/>
            <w:gridSpan w:val="2"/>
            <w:vMerge w:val="restart"/>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Factor tuboperitoneal</w:t>
            </w: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Histerosonograma (HSNG)</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38</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22,2</w:t>
            </w:r>
          </w:p>
        </w:tc>
      </w:tr>
      <w:tr w:rsidR="00416B06" w:rsidRPr="00E502B5" w:rsidTr="00682417">
        <w:trPr>
          <w:trHeight w:val="36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Histerosalpingografía (HSG)</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128</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50,0</w:t>
            </w:r>
          </w:p>
        </w:tc>
      </w:tr>
      <w:tr w:rsidR="00416B06" w:rsidRPr="00E502B5" w:rsidTr="00682417">
        <w:trPr>
          <w:trHeight w:val="34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Laparoscopia</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35</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19,4</w:t>
            </w:r>
          </w:p>
        </w:tc>
      </w:tr>
      <w:tr w:rsidR="00416B06" w:rsidRPr="00E502B5" w:rsidTr="00682417">
        <w:trPr>
          <w:trHeight w:val="34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Laparotomía</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0</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0,0</w:t>
            </w:r>
          </w:p>
        </w:tc>
      </w:tr>
      <w:tr w:rsidR="00416B06" w:rsidRPr="00E502B5" w:rsidTr="00682417">
        <w:trPr>
          <w:trHeight w:val="187"/>
        </w:trPr>
        <w:tc>
          <w:tcPr>
            <w:tcW w:w="2201" w:type="dxa"/>
            <w:gridSpan w:val="2"/>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063"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r>
      <w:tr w:rsidR="00416B06" w:rsidRPr="00E502B5" w:rsidTr="00682417">
        <w:trPr>
          <w:trHeight w:val="362"/>
        </w:trPr>
        <w:tc>
          <w:tcPr>
            <w:tcW w:w="2201" w:type="dxa"/>
            <w:gridSpan w:val="2"/>
            <w:vMerge w:val="restart"/>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Factor uterino</w:t>
            </w: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Histerosonograma (HSNG)</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19</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11,1</w:t>
            </w:r>
          </w:p>
        </w:tc>
      </w:tr>
      <w:tr w:rsidR="00416B06" w:rsidRPr="00E502B5" w:rsidTr="00682417">
        <w:trPr>
          <w:trHeight w:val="36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Histerosalpingografía (HSG)</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38</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22,2</w:t>
            </w:r>
          </w:p>
        </w:tc>
      </w:tr>
      <w:tr w:rsidR="00416B06" w:rsidRPr="00E502B5" w:rsidTr="00682417">
        <w:trPr>
          <w:trHeight w:val="362"/>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Ultrasonografía</w:t>
            </w:r>
          </w:p>
        </w:tc>
        <w:tc>
          <w:tcPr>
            <w:tcW w:w="1711" w:type="dxa"/>
            <w:shd w:val="clear" w:color="auto" w:fill="auto"/>
            <w:noWrap/>
            <w:vAlign w:val="center"/>
            <w:hideMark/>
          </w:tcPr>
          <w:p w:rsidR="00416B06" w:rsidRPr="00E502B5" w:rsidRDefault="000126BE" w:rsidP="00797188">
            <w:pPr>
              <w:spacing w:after="0" w:line="240" w:lineRule="atLeast"/>
              <w:jc w:val="both"/>
              <w:rPr>
                <w:rFonts w:ascii="Arial" w:eastAsia="Times New Roman" w:hAnsi="Arial" w:cs="Arial"/>
                <w:sz w:val="24"/>
                <w:szCs w:val="24"/>
                <w:lang w:val="es-PE" w:eastAsia="es-MX"/>
              </w:rPr>
            </w:pPr>
            <w:r>
              <w:rPr>
                <w:rFonts w:ascii="Arial" w:eastAsia="Times New Roman" w:hAnsi="Arial" w:cs="Arial"/>
                <w:sz w:val="24"/>
                <w:szCs w:val="24"/>
                <w:lang w:val="es-PE" w:eastAsia="es-MX"/>
              </w:rPr>
              <w:t>139</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80,5</w:t>
            </w:r>
          </w:p>
        </w:tc>
      </w:tr>
      <w:tr w:rsidR="00416B06" w:rsidRPr="00E502B5" w:rsidTr="00682417">
        <w:trPr>
          <w:trHeight w:val="166"/>
        </w:trPr>
        <w:tc>
          <w:tcPr>
            <w:tcW w:w="2201" w:type="dxa"/>
            <w:gridSpan w:val="2"/>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063"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r>
      <w:tr w:rsidR="00416B06" w:rsidRPr="00E502B5" w:rsidTr="00682417">
        <w:trPr>
          <w:trHeight w:val="362"/>
        </w:trPr>
        <w:tc>
          <w:tcPr>
            <w:tcW w:w="2201" w:type="dxa"/>
            <w:gridSpan w:val="2"/>
            <w:vMerge w:val="restart"/>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Factor cervicovaginal</w:t>
            </w:r>
          </w:p>
        </w:tc>
        <w:tc>
          <w:tcPr>
            <w:tcW w:w="3679"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Estudio microbiológico</w:t>
            </w:r>
          </w:p>
        </w:tc>
        <w:tc>
          <w:tcPr>
            <w:tcW w:w="1711" w:type="dxa"/>
            <w:shd w:val="clear" w:color="auto" w:fill="auto"/>
            <w:noWrap/>
            <w:vAlign w:val="center"/>
            <w:hideMark/>
          </w:tcPr>
          <w:p w:rsidR="00416B06" w:rsidRPr="00E502B5" w:rsidRDefault="000126BE" w:rsidP="00797188">
            <w:pPr>
              <w:spacing w:after="0" w:line="240" w:lineRule="atLeast"/>
              <w:jc w:val="both"/>
              <w:rPr>
                <w:rFonts w:ascii="Arial" w:eastAsia="Times New Roman" w:hAnsi="Arial" w:cs="Arial"/>
                <w:sz w:val="24"/>
                <w:szCs w:val="24"/>
                <w:lang w:val="es-PE" w:eastAsia="es-MX"/>
              </w:rPr>
            </w:pPr>
            <w:r>
              <w:rPr>
                <w:rFonts w:ascii="Arial" w:eastAsia="Times New Roman" w:hAnsi="Arial" w:cs="Arial"/>
                <w:sz w:val="24"/>
                <w:szCs w:val="24"/>
                <w:lang w:val="es-PE" w:eastAsia="es-MX"/>
              </w:rPr>
              <w:t>173</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100,0</w:t>
            </w:r>
          </w:p>
        </w:tc>
      </w:tr>
      <w:tr w:rsidR="00416B06" w:rsidRPr="00E502B5" w:rsidTr="00682417">
        <w:trPr>
          <w:trHeight w:val="324"/>
        </w:trPr>
        <w:tc>
          <w:tcPr>
            <w:tcW w:w="2201" w:type="dxa"/>
            <w:gridSpan w:val="2"/>
            <w:vMerge/>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Test poscoital</w:t>
            </w:r>
          </w:p>
        </w:tc>
        <w:tc>
          <w:tcPr>
            <w:tcW w:w="1711"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81</w:t>
            </w:r>
          </w:p>
        </w:tc>
        <w:tc>
          <w:tcPr>
            <w:tcW w:w="1063" w:type="dxa"/>
            <w:shd w:val="clear" w:color="auto" w:fill="auto"/>
            <w:noWrap/>
            <w:vAlign w:val="center"/>
            <w:hideMark/>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47,2</w:t>
            </w:r>
          </w:p>
        </w:tc>
      </w:tr>
      <w:tr w:rsidR="00416B06" w:rsidRPr="00E502B5" w:rsidTr="00682417">
        <w:trPr>
          <w:trHeight w:val="159"/>
        </w:trPr>
        <w:tc>
          <w:tcPr>
            <w:tcW w:w="2201" w:type="dxa"/>
            <w:gridSpan w:val="2"/>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711"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1063"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r>
      <w:tr w:rsidR="00416B06" w:rsidRPr="00E502B5" w:rsidTr="00682417">
        <w:trPr>
          <w:trHeight w:val="324"/>
        </w:trPr>
        <w:tc>
          <w:tcPr>
            <w:tcW w:w="2201" w:type="dxa"/>
            <w:gridSpan w:val="2"/>
            <w:vMerge w:val="restart"/>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Factor Masculino</w:t>
            </w:r>
          </w:p>
        </w:tc>
        <w:tc>
          <w:tcPr>
            <w:tcW w:w="3679"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Espermiograma</w:t>
            </w:r>
          </w:p>
        </w:tc>
        <w:tc>
          <w:tcPr>
            <w:tcW w:w="1711" w:type="dxa"/>
            <w:shd w:val="clear" w:color="auto" w:fill="auto"/>
            <w:noWrap/>
            <w:vAlign w:val="center"/>
          </w:tcPr>
          <w:p w:rsidR="00416B06" w:rsidRPr="00E502B5" w:rsidRDefault="000126BE" w:rsidP="00797188">
            <w:pPr>
              <w:spacing w:after="0" w:line="240" w:lineRule="atLeast"/>
              <w:jc w:val="both"/>
              <w:rPr>
                <w:rFonts w:ascii="Arial" w:eastAsia="Times New Roman" w:hAnsi="Arial" w:cs="Arial"/>
                <w:sz w:val="24"/>
                <w:szCs w:val="24"/>
                <w:lang w:val="es-PE" w:eastAsia="es-MX"/>
              </w:rPr>
            </w:pPr>
            <w:r>
              <w:rPr>
                <w:rFonts w:ascii="Arial" w:eastAsia="Times New Roman" w:hAnsi="Arial" w:cs="Arial"/>
                <w:sz w:val="24"/>
                <w:szCs w:val="24"/>
                <w:lang w:val="es-PE" w:eastAsia="es-MX"/>
              </w:rPr>
              <w:t>173</w:t>
            </w:r>
          </w:p>
        </w:tc>
        <w:tc>
          <w:tcPr>
            <w:tcW w:w="1063" w:type="dxa"/>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100,0</w:t>
            </w:r>
          </w:p>
        </w:tc>
      </w:tr>
      <w:tr w:rsidR="00416B06" w:rsidRPr="00E502B5" w:rsidTr="00682417">
        <w:trPr>
          <w:trHeight w:val="324"/>
        </w:trPr>
        <w:tc>
          <w:tcPr>
            <w:tcW w:w="2201" w:type="dxa"/>
            <w:gridSpan w:val="2"/>
            <w:vMerge/>
            <w:tcBorders>
              <w:bottom w:val="single" w:sz="12" w:space="0" w:color="auto"/>
            </w:tcBorders>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p>
        </w:tc>
        <w:tc>
          <w:tcPr>
            <w:tcW w:w="3679" w:type="dxa"/>
            <w:tcBorders>
              <w:bottom w:val="single" w:sz="12" w:space="0" w:color="auto"/>
            </w:tcBorders>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Espermocultivo</w:t>
            </w:r>
          </w:p>
        </w:tc>
        <w:tc>
          <w:tcPr>
            <w:tcW w:w="1711" w:type="dxa"/>
            <w:tcBorders>
              <w:bottom w:val="single" w:sz="12" w:space="0" w:color="auto"/>
            </w:tcBorders>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76</w:t>
            </w:r>
          </w:p>
        </w:tc>
        <w:tc>
          <w:tcPr>
            <w:tcW w:w="1063" w:type="dxa"/>
            <w:tcBorders>
              <w:bottom w:val="single" w:sz="12" w:space="0" w:color="auto"/>
            </w:tcBorders>
            <w:shd w:val="clear" w:color="auto" w:fill="auto"/>
            <w:noWrap/>
            <w:vAlign w:val="center"/>
          </w:tcPr>
          <w:p w:rsidR="00416B06" w:rsidRPr="00E502B5" w:rsidRDefault="00416B06" w:rsidP="00797188">
            <w:pPr>
              <w:spacing w:after="0" w:line="240" w:lineRule="atLeast"/>
              <w:jc w:val="both"/>
              <w:rPr>
                <w:rFonts w:ascii="Arial" w:eastAsia="Times New Roman" w:hAnsi="Arial" w:cs="Arial"/>
                <w:sz w:val="24"/>
                <w:szCs w:val="24"/>
                <w:lang w:val="es-PE" w:eastAsia="es-MX"/>
              </w:rPr>
            </w:pPr>
            <w:r w:rsidRPr="00E502B5">
              <w:rPr>
                <w:rFonts w:ascii="Arial" w:eastAsia="Times New Roman" w:hAnsi="Arial" w:cs="Arial"/>
                <w:sz w:val="24"/>
                <w:szCs w:val="24"/>
                <w:lang w:val="es-PE" w:eastAsia="es-MX"/>
              </w:rPr>
              <w:t>44,4</w:t>
            </w:r>
          </w:p>
        </w:tc>
      </w:tr>
    </w:tbl>
    <w:p w:rsidR="00D85838" w:rsidRPr="00D85838" w:rsidRDefault="00FF2FAF" w:rsidP="00797188">
      <w:pPr>
        <w:jc w:val="both"/>
        <w:rPr>
          <w:rFonts w:ascii="Arial" w:hAnsi="Arial" w:cs="Arial"/>
          <w:sz w:val="20"/>
          <w:szCs w:val="20"/>
        </w:rPr>
      </w:pPr>
      <w:r w:rsidRPr="00FF2FAF">
        <w:rPr>
          <w:rFonts w:ascii="Arial" w:hAnsi="Arial" w:cs="Arial"/>
          <w:sz w:val="20"/>
          <w:szCs w:val="20"/>
        </w:rPr>
        <w:t>Fuente: Encuesta</w:t>
      </w:r>
      <w:r w:rsidR="00D85838">
        <w:rPr>
          <w:rFonts w:ascii="Arial" w:hAnsi="Arial" w:cs="Arial"/>
          <w:sz w:val="20"/>
          <w:szCs w:val="20"/>
        </w:rPr>
        <w:t>.</w:t>
      </w:r>
    </w:p>
    <w:p w:rsidR="00195A4A" w:rsidRDefault="00A25914" w:rsidP="00797188">
      <w:pPr>
        <w:jc w:val="both"/>
        <w:rPr>
          <w:rFonts w:ascii="Arial" w:hAnsi="Arial" w:cs="Arial"/>
          <w:color w:val="000000"/>
          <w:sz w:val="24"/>
          <w:szCs w:val="24"/>
          <w:lang w:eastAsia="es-MX"/>
        </w:rPr>
      </w:pPr>
      <w:r w:rsidRPr="00180258">
        <w:rPr>
          <w:rFonts w:ascii="Arial" w:hAnsi="Arial" w:cs="Arial"/>
          <w:sz w:val="24"/>
          <w:szCs w:val="24"/>
        </w:rPr>
        <w:t xml:space="preserve">En la tabla 4 se analizó la terapéutica impuesta según tipo de infertilidad; en </w:t>
      </w:r>
      <w:r w:rsidR="00CA0E0A" w:rsidRPr="00180258">
        <w:rPr>
          <w:rFonts w:ascii="Arial" w:hAnsi="Arial" w:cs="Arial"/>
          <w:sz w:val="24"/>
          <w:szCs w:val="24"/>
        </w:rPr>
        <w:t>algunas mujeres</w:t>
      </w:r>
      <w:r w:rsidRPr="00180258">
        <w:rPr>
          <w:rFonts w:ascii="Arial" w:hAnsi="Arial" w:cs="Arial"/>
          <w:sz w:val="24"/>
          <w:szCs w:val="24"/>
        </w:rPr>
        <w:t xml:space="preserve"> se necesitó combinar más de una. En el 40,46 % de la muestra se </w:t>
      </w:r>
      <w:r w:rsidR="00642244" w:rsidRPr="00180258">
        <w:rPr>
          <w:rFonts w:ascii="Arial" w:hAnsi="Arial" w:cs="Arial"/>
          <w:sz w:val="24"/>
          <w:szCs w:val="24"/>
        </w:rPr>
        <w:t xml:space="preserve">utilizó </w:t>
      </w:r>
      <w:r w:rsidR="00642244" w:rsidRPr="00180258">
        <w:rPr>
          <w:rFonts w:ascii="Arial" w:hAnsi="Arial" w:cs="Arial"/>
          <w:color w:val="000000"/>
          <w:sz w:val="24"/>
          <w:szCs w:val="24"/>
          <w:lang w:eastAsia="es-MX"/>
        </w:rPr>
        <w:t>la</w:t>
      </w:r>
      <w:r w:rsidRPr="00180258">
        <w:rPr>
          <w:rFonts w:ascii="Arial" w:hAnsi="Arial" w:cs="Arial"/>
          <w:color w:val="000000"/>
          <w:sz w:val="24"/>
          <w:szCs w:val="24"/>
          <w:lang w:eastAsia="es-MX"/>
        </w:rPr>
        <w:t xml:space="preserve"> combinación de tra</w:t>
      </w:r>
      <w:r w:rsidR="000B593C" w:rsidRPr="00180258">
        <w:rPr>
          <w:rFonts w:ascii="Arial" w:hAnsi="Arial" w:cs="Arial"/>
          <w:color w:val="000000"/>
          <w:sz w:val="24"/>
          <w:szCs w:val="24"/>
          <w:lang w:eastAsia="es-MX"/>
        </w:rPr>
        <w:t>tamientos como la e</w:t>
      </w:r>
      <w:r w:rsidRPr="00180258">
        <w:rPr>
          <w:rFonts w:ascii="Arial" w:hAnsi="Arial" w:cs="Arial"/>
          <w:color w:val="000000"/>
          <w:sz w:val="24"/>
          <w:szCs w:val="24"/>
          <w:lang w:eastAsia="es-MX"/>
        </w:rPr>
        <w:t>stimulación ovárica c</w:t>
      </w:r>
      <w:r w:rsidR="000B593C" w:rsidRPr="00180258">
        <w:rPr>
          <w:rFonts w:ascii="Arial" w:hAnsi="Arial" w:cs="Arial"/>
          <w:color w:val="000000"/>
          <w:sz w:val="24"/>
          <w:szCs w:val="24"/>
          <w:lang w:eastAsia="es-MX"/>
        </w:rPr>
        <w:t>ontrolada (EOC) más coito p</w:t>
      </w:r>
      <w:r w:rsidRPr="00180258">
        <w:rPr>
          <w:rFonts w:ascii="Arial" w:hAnsi="Arial" w:cs="Arial"/>
          <w:color w:val="000000"/>
          <w:sz w:val="24"/>
          <w:szCs w:val="24"/>
          <w:lang w:eastAsia="es-MX"/>
        </w:rPr>
        <w:t>rogramado</w:t>
      </w:r>
      <w:r w:rsidR="005F55CC" w:rsidRPr="00180258">
        <w:rPr>
          <w:rFonts w:ascii="Arial" w:hAnsi="Arial" w:cs="Arial"/>
          <w:color w:val="000000"/>
          <w:sz w:val="24"/>
          <w:szCs w:val="24"/>
          <w:lang w:eastAsia="es-MX"/>
        </w:rPr>
        <w:t xml:space="preserve"> con una significación estadística de P(6,30512E-16)</w:t>
      </w:r>
      <w:r w:rsidR="00346FBE">
        <w:rPr>
          <w:rFonts w:ascii="Arial" w:hAnsi="Arial" w:cs="Arial"/>
          <w:color w:val="000000"/>
          <w:sz w:val="24"/>
          <w:szCs w:val="24"/>
          <w:lang w:eastAsia="es-MX"/>
        </w:rPr>
        <w:t xml:space="preserve"> </w:t>
      </w:r>
      <w:r w:rsidR="00642244" w:rsidRPr="00180258">
        <w:rPr>
          <w:rFonts w:ascii="Arial" w:hAnsi="Arial" w:cs="Arial"/>
          <w:color w:val="000000"/>
          <w:sz w:val="24"/>
          <w:szCs w:val="24"/>
          <w:lang w:eastAsia="es-MX"/>
        </w:rPr>
        <w:t>y en</w:t>
      </w:r>
      <w:r w:rsidRPr="00180258">
        <w:rPr>
          <w:rFonts w:ascii="Arial" w:hAnsi="Arial" w:cs="Arial"/>
          <w:color w:val="000000"/>
          <w:sz w:val="24"/>
          <w:szCs w:val="24"/>
          <w:lang w:eastAsia="es-MX"/>
        </w:rPr>
        <w:t xml:space="preserve"> el 9,25 % fue necesario estimulación ovárica controlada más inseminación intrauterina (IIU).</w:t>
      </w:r>
      <w:r w:rsidR="00922BC8">
        <w:rPr>
          <w:rFonts w:ascii="Arial" w:hAnsi="Arial" w:cs="Arial"/>
          <w:color w:val="000000"/>
          <w:sz w:val="24"/>
          <w:szCs w:val="24"/>
          <w:lang w:eastAsia="es-MX"/>
        </w:rPr>
        <w:t xml:space="preserve"> </w:t>
      </w:r>
      <w:r w:rsidRPr="00180258">
        <w:rPr>
          <w:rFonts w:ascii="Arial" w:hAnsi="Arial" w:cs="Arial"/>
          <w:sz w:val="24"/>
          <w:szCs w:val="24"/>
        </w:rPr>
        <w:t xml:space="preserve">En el caso de la infección vaginal se </w:t>
      </w:r>
      <w:r w:rsidR="00642244" w:rsidRPr="00180258">
        <w:rPr>
          <w:rFonts w:ascii="Arial" w:hAnsi="Arial" w:cs="Arial"/>
          <w:sz w:val="24"/>
          <w:szCs w:val="24"/>
        </w:rPr>
        <w:t>impuso tratamiento</w:t>
      </w:r>
      <w:r w:rsidRPr="00180258">
        <w:rPr>
          <w:rFonts w:ascii="Arial" w:hAnsi="Arial" w:cs="Arial"/>
          <w:sz w:val="24"/>
          <w:szCs w:val="24"/>
        </w:rPr>
        <w:t xml:space="preserve"> a 61 pacientes lo que representó el 35,26 %y tratamiento al factor masculino en 58 para un 33,53</w:t>
      </w:r>
      <w:r w:rsidRPr="00180258">
        <w:rPr>
          <w:rFonts w:ascii="Arial" w:hAnsi="Arial" w:cs="Arial"/>
          <w:color w:val="000000"/>
          <w:sz w:val="24"/>
          <w:szCs w:val="24"/>
          <w:lang w:eastAsia="es-MX"/>
        </w:rPr>
        <w:t xml:space="preserve"> %.</w:t>
      </w:r>
    </w:p>
    <w:p w:rsidR="00922BC8" w:rsidRDefault="00D85838" w:rsidP="00797188">
      <w:pPr>
        <w:jc w:val="both"/>
        <w:rPr>
          <w:rFonts w:ascii="Arial" w:hAnsi="Arial" w:cs="Arial"/>
          <w:color w:val="000000"/>
          <w:sz w:val="24"/>
          <w:szCs w:val="24"/>
          <w:lang w:eastAsia="es-MX"/>
        </w:rPr>
      </w:pPr>
      <w:r>
        <w:rPr>
          <w:rFonts w:ascii="Arial" w:hAnsi="Arial" w:cs="Arial"/>
          <w:color w:val="000000"/>
          <w:sz w:val="24"/>
          <w:szCs w:val="24"/>
          <w:lang w:eastAsia="es-MX"/>
        </w:rPr>
        <w:t>Tabla 4. Tipo de tratamiento</w:t>
      </w:r>
    </w:p>
    <w:p w:rsidR="00922BC8" w:rsidRDefault="00922BC8" w:rsidP="00797188">
      <w:pPr>
        <w:jc w:val="both"/>
        <w:rPr>
          <w:rFonts w:ascii="Arial" w:hAnsi="Arial" w:cs="Arial"/>
          <w:color w:val="000000"/>
          <w:sz w:val="24"/>
          <w:szCs w:val="24"/>
          <w:lang w:eastAsia="es-MX"/>
        </w:rPr>
      </w:pPr>
    </w:p>
    <w:p w:rsidR="00922BC8" w:rsidRDefault="00922BC8" w:rsidP="00797188">
      <w:pPr>
        <w:jc w:val="both"/>
        <w:rPr>
          <w:rFonts w:ascii="Arial" w:hAnsi="Arial" w:cs="Arial"/>
          <w:color w:val="000000"/>
          <w:sz w:val="24"/>
          <w:szCs w:val="24"/>
          <w:lang w:eastAsia="es-MX"/>
        </w:rPr>
      </w:pPr>
    </w:p>
    <w:tbl>
      <w:tblPr>
        <w:tblpPr w:leftFromText="141" w:rightFromText="141" w:vertAnchor="page" w:horzAnchor="margin" w:tblpXSpec="center" w:tblpY="2468"/>
        <w:tblW w:w="8033" w:type="dxa"/>
        <w:tblCellMar>
          <w:left w:w="70" w:type="dxa"/>
          <w:right w:w="70" w:type="dxa"/>
        </w:tblCellMar>
        <w:tblLook w:val="00A0" w:firstRow="1" w:lastRow="0" w:firstColumn="1" w:lastColumn="0" w:noHBand="0" w:noVBand="0"/>
      </w:tblPr>
      <w:tblGrid>
        <w:gridCol w:w="4561"/>
        <w:gridCol w:w="1701"/>
        <w:gridCol w:w="1771"/>
      </w:tblGrid>
      <w:tr w:rsidR="00922BC8" w:rsidRPr="00D96120" w:rsidTr="00922BC8">
        <w:trPr>
          <w:trHeight w:val="351"/>
        </w:trPr>
        <w:tc>
          <w:tcPr>
            <w:tcW w:w="4561" w:type="dxa"/>
            <w:tcBorders>
              <w:top w:val="single" w:sz="4" w:space="0" w:color="auto"/>
              <w:bottom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Tipo de tratamiento</w:t>
            </w:r>
          </w:p>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N=173</w:t>
            </w:r>
          </w:p>
        </w:tc>
        <w:tc>
          <w:tcPr>
            <w:tcW w:w="1701" w:type="dxa"/>
            <w:tcBorders>
              <w:top w:val="single" w:sz="4" w:space="0" w:color="auto"/>
              <w:bottom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p>
        </w:tc>
        <w:tc>
          <w:tcPr>
            <w:tcW w:w="1771" w:type="dxa"/>
            <w:tcBorders>
              <w:top w:val="single" w:sz="4" w:space="0" w:color="auto"/>
              <w:bottom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w:t>
            </w:r>
          </w:p>
        </w:tc>
      </w:tr>
      <w:tr w:rsidR="00922BC8" w:rsidRPr="00D96120" w:rsidTr="00922BC8">
        <w:trPr>
          <w:trHeight w:val="351"/>
        </w:trPr>
        <w:tc>
          <w:tcPr>
            <w:tcW w:w="4561" w:type="dxa"/>
            <w:tcBorders>
              <w:top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Higiénico-dietético</w:t>
            </w:r>
          </w:p>
        </w:tc>
        <w:tc>
          <w:tcPr>
            <w:tcW w:w="1701" w:type="dxa"/>
            <w:tcBorders>
              <w:top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6</w:t>
            </w:r>
          </w:p>
        </w:tc>
        <w:tc>
          <w:tcPr>
            <w:tcW w:w="1771" w:type="dxa"/>
            <w:tcBorders>
              <w:top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3,47</w:t>
            </w:r>
          </w:p>
        </w:tc>
      </w:tr>
      <w:tr w:rsidR="00922BC8" w:rsidRPr="00D96120" w:rsidTr="00922BC8">
        <w:trPr>
          <w:trHeight w:val="351"/>
        </w:trPr>
        <w:tc>
          <w:tcPr>
            <w:tcW w:w="456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Tratamiento de la Infección Vaginal</w:t>
            </w:r>
          </w:p>
        </w:tc>
        <w:tc>
          <w:tcPr>
            <w:tcW w:w="170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61</w:t>
            </w:r>
          </w:p>
        </w:tc>
        <w:tc>
          <w:tcPr>
            <w:tcW w:w="177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35,26</w:t>
            </w:r>
          </w:p>
        </w:tc>
      </w:tr>
      <w:tr w:rsidR="00922BC8" w:rsidRPr="00D96120" w:rsidTr="00922BC8">
        <w:trPr>
          <w:trHeight w:val="351"/>
        </w:trPr>
        <w:tc>
          <w:tcPr>
            <w:tcW w:w="4561" w:type="dxa"/>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Estimulación Ovárica Controlada + Coito programado</w:t>
            </w:r>
          </w:p>
        </w:tc>
        <w:tc>
          <w:tcPr>
            <w:tcW w:w="170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 xml:space="preserve">70 </w:t>
            </w:r>
          </w:p>
        </w:tc>
        <w:tc>
          <w:tcPr>
            <w:tcW w:w="177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40,46</w:t>
            </w:r>
          </w:p>
        </w:tc>
      </w:tr>
      <w:tr w:rsidR="00922BC8" w:rsidRPr="00D96120" w:rsidTr="00922BC8">
        <w:trPr>
          <w:trHeight w:val="351"/>
        </w:trPr>
        <w:tc>
          <w:tcPr>
            <w:tcW w:w="4561" w:type="dxa"/>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Estimulación Ovárica Controlada +Inseminación Intrauterina</w:t>
            </w:r>
          </w:p>
        </w:tc>
        <w:tc>
          <w:tcPr>
            <w:tcW w:w="170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16</w:t>
            </w:r>
          </w:p>
        </w:tc>
        <w:tc>
          <w:tcPr>
            <w:tcW w:w="1771" w:type="dxa"/>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9,25</w:t>
            </w:r>
          </w:p>
        </w:tc>
      </w:tr>
      <w:tr w:rsidR="00922BC8" w:rsidRPr="00D96120" w:rsidTr="00922BC8">
        <w:trPr>
          <w:trHeight w:val="351"/>
        </w:trPr>
        <w:tc>
          <w:tcPr>
            <w:tcW w:w="4561" w:type="dxa"/>
            <w:tcBorders>
              <w:bottom w:val="single" w:sz="4" w:space="0" w:color="auto"/>
            </w:tcBorders>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Otros Inductores Indirectos de la Ovulación</w:t>
            </w:r>
          </w:p>
        </w:tc>
        <w:tc>
          <w:tcPr>
            <w:tcW w:w="1701" w:type="dxa"/>
            <w:tcBorders>
              <w:bottom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7</w:t>
            </w:r>
          </w:p>
        </w:tc>
        <w:tc>
          <w:tcPr>
            <w:tcW w:w="1771" w:type="dxa"/>
            <w:tcBorders>
              <w:bottom w:val="single" w:sz="4"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4,05</w:t>
            </w:r>
          </w:p>
        </w:tc>
      </w:tr>
      <w:tr w:rsidR="00922BC8" w:rsidRPr="00D96120" w:rsidTr="00922BC8">
        <w:trPr>
          <w:trHeight w:val="351"/>
        </w:trPr>
        <w:tc>
          <w:tcPr>
            <w:tcW w:w="4561" w:type="dxa"/>
            <w:tcBorders>
              <w:top w:val="single" w:sz="4" w:space="0" w:color="auto"/>
              <w:bottom w:val="single" w:sz="12" w:space="0" w:color="auto"/>
            </w:tcBorders>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Tratamiento del factor masculino</w:t>
            </w:r>
          </w:p>
        </w:tc>
        <w:tc>
          <w:tcPr>
            <w:tcW w:w="1701" w:type="dxa"/>
            <w:tcBorders>
              <w:top w:val="single" w:sz="4" w:space="0" w:color="auto"/>
              <w:bottom w:val="single" w:sz="12"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58</w:t>
            </w:r>
          </w:p>
        </w:tc>
        <w:tc>
          <w:tcPr>
            <w:tcW w:w="1771" w:type="dxa"/>
            <w:tcBorders>
              <w:top w:val="single" w:sz="4" w:space="0" w:color="auto"/>
              <w:bottom w:val="single" w:sz="12" w:space="0" w:color="auto"/>
            </w:tcBorders>
            <w:noWrap/>
            <w:vAlign w:val="center"/>
          </w:tcPr>
          <w:p w:rsidR="00922BC8" w:rsidRPr="00D96120" w:rsidRDefault="00922BC8" w:rsidP="00797188">
            <w:pPr>
              <w:spacing w:after="0" w:line="240" w:lineRule="auto"/>
              <w:jc w:val="both"/>
              <w:rPr>
                <w:rFonts w:ascii="Arial" w:hAnsi="Arial" w:cs="Arial"/>
                <w:sz w:val="24"/>
                <w:szCs w:val="24"/>
                <w:lang w:val="es-PE" w:eastAsia="es-MX"/>
              </w:rPr>
            </w:pPr>
            <w:r w:rsidRPr="00D96120">
              <w:rPr>
                <w:rFonts w:ascii="Arial" w:hAnsi="Arial" w:cs="Arial"/>
                <w:sz w:val="24"/>
                <w:szCs w:val="24"/>
                <w:lang w:val="es-PE" w:eastAsia="es-MX"/>
              </w:rPr>
              <w:t>33,53</w:t>
            </w:r>
          </w:p>
          <w:p w:rsidR="00922BC8" w:rsidRPr="00D96120" w:rsidRDefault="00922BC8" w:rsidP="00797188">
            <w:pPr>
              <w:spacing w:after="0" w:line="240" w:lineRule="auto"/>
              <w:jc w:val="both"/>
              <w:rPr>
                <w:rFonts w:ascii="Arial" w:hAnsi="Arial" w:cs="Arial"/>
                <w:sz w:val="24"/>
                <w:szCs w:val="24"/>
                <w:lang w:val="es-PE" w:eastAsia="es-MX"/>
              </w:rPr>
            </w:pPr>
          </w:p>
        </w:tc>
      </w:tr>
    </w:tbl>
    <w:p w:rsidR="00922BC8" w:rsidRDefault="00922BC8" w:rsidP="00797188">
      <w:pPr>
        <w:jc w:val="both"/>
        <w:rPr>
          <w:rFonts w:ascii="Arial" w:hAnsi="Arial" w:cs="Arial"/>
          <w:sz w:val="24"/>
          <w:lang w:val="es-PE"/>
        </w:rPr>
      </w:pPr>
    </w:p>
    <w:p w:rsidR="00153CB9" w:rsidRPr="00D96120" w:rsidRDefault="00493620" w:rsidP="00797188">
      <w:pPr>
        <w:jc w:val="both"/>
        <w:rPr>
          <w:rFonts w:ascii="Arial" w:hAnsi="Arial" w:cs="Arial"/>
          <w:sz w:val="20"/>
          <w:szCs w:val="20"/>
          <w:lang w:val="es-PE"/>
        </w:rPr>
      </w:pPr>
      <w:r>
        <w:rPr>
          <w:rFonts w:ascii="Arial" w:hAnsi="Arial" w:cs="Arial"/>
          <w:sz w:val="24"/>
          <w:lang w:val="es-PE"/>
        </w:rPr>
        <w:t xml:space="preserve">        </w:t>
      </w:r>
      <w:r w:rsidR="00153CB9" w:rsidRPr="00D96120">
        <w:rPr>
          <w:rFonts w:ascii="Arial" w:hAnsi="Arial" w:cs="Arial"/>
          <w:sz w:val="20"/>
          <w:szCs w:val="20"/>
          <w:lang w:val="es-PE"/>
        </w:rPr>
        <w:t>Fuente: Encuesta</w:t>
      </w:r>
    </w:p>
    <w:p w:rsidR="00A25914" w:rsidRDefault="00A25914" w:rsidP="00797188">
      <w:pPr>
        <w:jc w:val="both"/>
        <w:rPr>
          <w:rFonts w:ascii="Arial" w:hAnsi="Arial" w:cs="Arial"/>
          <w:sz w:val="24"/>
          <w:szCs w:val="24"/>
        </w:rPr>
      </w:pPr>
      <w:r w:rsidRPr="00180258">
        <w:rPr>
          <w:rFonts w:ascii="Arial" w:hAnsi="Arial" w:cs="Arial"/>
          <w:sz w:val="24"/>
          <w:szCs w:val="24"/>
        </w:rPr>
        <w:t>En la tabla 5 se estableció la relación entre tiempo de infertilidad y tiempo de atención en el servicio, encontrando que 125 mujeres tenían 2 años o menos de atención en el servicio para un 72,3 %</w:t>
      </w:r>
      <w:r w:rsidR="005F55CC" w:rsidRPr="00180258">
        <w:rPr>
          <w:rFonts w:ascii="Arial" w:hAnsi="Arial" w:cs="Arial"/>
          <w:sz w:val="24"/>
          <w:szCs w:val="24"/>
        </w:rPr>
        <w:t xml:space="preserve"> y diferencias estadísticas P(6,30512E-16)</w:t>
      </w:r>
      <w:r w:rsidRPr="00180258">
        <w:rPr>
          <w:rFonts w:ascii="Arial" w:hAnsi="Arial" w:cs="Arial"/>
          <w:sz w:val="24"/>
          <w:szCs w:val="24"/>
        </w:rPr>
        <w:t xml:space="preserve">, 92 de ellas con una historia de 5 años o menos de </w:t>
      </w:r>
      <w:r w:rsidR="00642244" w:rsidRPr="00180258">
        <w:rPr>
          <w:rFonts w:ascii="Arial" w:hAnsi="Arial" w:cs="Arial"/>
          <w:sz w:val="24"/>
          <w:szCs w:val="24"/>
        </w:rPr>
        <w:t>infertilidad (53</w:t>
      </w:r>
      <w:r w:rsidRPr="00180258">
        <w:rPr>
          <w:rFonts w:ascii="Arial" w:hAnsi="Arial" w:cs="Arial"/>
          <w:sz w:val="24"/>
          <w:szCs w:val="24"/>
        </w:rPr>
        <w:t xml:space="preserve">,2%) seguidas por las que tenían entre 6 y 10 años </w:t>
      </w:r>
      <w:r w:rsidR="00E674EA" w:rsidRPr="00180258">
        <w:rPr>
          <w:rFonts w:ascii="Arial" w:hAnsi="Arial" w:cs="Arial"/>
          <w:sz w:val="24"/>
          <w:szCs w:val="24"/>
        </w:rPr>
        <w:t>con</w:t>
      </w:r>
      <w:r w:rsidRPr="00180258">
        <w:rPr>
          <w:rFonts w:ascii="Arial" w:hAnsi="Arial" w:cs="Arial"/>
          <w:sz w:val="24"/>
          <w:szCs w:val="24"/>
        </w:rPr>
        <w:t xml:space="preserve"> un tiempo de atención en el servicio de 3 a 5 años.</w:t>
      </w:r>
    </w:p>
    <w:p w:rsidR="00C71485" w:rsidRDefault="00C71485" w:rsidP="00797188">
      <w:pPr>
        <w:jc w:val="both"/>
        <w:rPr>
          <w:rFonts w:ascii="Arial" w:hAnsi="Arial" w:cs="Arial"/>
          <w:sz w:val="20"/>
          <w:szCs w:val="20"/>
          <w:lang w:val="es-PE"/>
        </w:rPr>
      </w:pPr>
    </w:p>
    <w:p w:rsidR="00C71485" w:rsidRPr="00693D27" w:rsidRDefault="00C71485" w:rsidP="00797188">
      <w:pPr>
        <w:jc w:val="both"/>
        <w:rPr>
          <w:rFonts w:ascii="Arial" w:hAnsi="Arial" w:cs="Arial"/>
          <w:sz w:val="24"/>
          <w:lang w:val="es-PE"/>
        </w:rPr>
      </w:pPr>
      <w:r w:rsidRPr="00693D27">
        <w:rPr>
          <w:rFonts w:ascii="Arial" w:hAnsi="Arial" w:cs="Arial"/>
          <w:sz w:val="24"/>
          <w:lang w:val="es-PE"/>
        </w:rPr>
        <w:t>Tabla 5. Relación tiempo de infertilidad con tiempo de atención en el servicio</w:t>
      </w:r>
    </w:p>
    <w:p w:rsidR="00C71485" w:rsidRPr="00693D27" w:rsidRDefault="00C71485" w:rsidP="00797188">
      <w:pPr>
        <w:jc w:val="both"/>
        <w:rPr>
          <w:lang w:val="es-PE"/>
        </w:rPr>
      </w:pPr>
    </w:p>
    <w:tbl>
      <w:tblPr>
        <w:tblpPr w:leftFromText="141" w:rightFromText="141" w:vertAnchor="text" w:horzAnchor="margin" w:tblpXSpec="center" w:tblpY="25"/>
        <w:tblW w:w="8914" w:type="dxa"/>
        <w:tblLayout w:type="fixed"/>
        <w:tblCellMar>
          <w:left w:w="70" w:type="dxa"/>
          <w:right w:w="70" w:type="dxa"/>
        </w:tblCellMar>
        <w:tblLook w:val="04A0" w:firstRow="1" w:lastRow="0" w:firstColumn="1" w:lastColumn="0" w:noHBand="0" w:noVBand="1"/>
      </w:tblPr>
      <w:tblGrid>
        <w:gridCol w:w="1857"/>
        <w:gridCol w:w="866"/>
        <w:gridCol w:w="867"/>
        <w:gridCol w:w="866"/>
        <w:gridCol w:w="867"/>
        <w:gridCol w:w="866"/>
        <w:gridCol w:w="869"/>
        <w:gridCol w:w="866"/>
        <w:gridCol w:w="990"/>
      </w:tblGrid>
      <w:tr w:rsidR="00C71485" w:rsidRPr="00693D27" w:rsidTr="00B7449A">
        <w:trPr>
          <w:trHeight w:val="379"/>
        </w:trPr>
        <w:tc>
          <w:tcPr>
            <w:tcW w:w="1857" w:type="dxa"/>
            <w:vMerge w:val="restart"/>
            <w:tcBorders>
              <w:top w:val="single" w:sz="1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Tiempo de Infertilidad en años</w:t>
            </w:r>
          </w:p>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N=173</w:t>
            </w:r>
          </w:p>
        </w:tc>
        <w:tc>
          <w:tcPr>
            <w:tcW w:w="5201" w:type="dxa"/>
            <w:gridSpan w:val="6"/>
            <w:tcBorders>
              <w:top w:val="single" w:sz="1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Tiempo de atención en el servicio en años</w:t>
            </w:r>
          </w:p>
        </w:tc>
        <w:tc>
          <w:tcPr>
            <w:tcW w:w="1856" w:type="dxa"/>
            <w:gridSpan w:val="2"/>
            <w:tcBorders>
              <w:top w:val="single" w:sz="1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tc>
      </w:tr>
      <w:tr w:rsidR="00C71485" w:rsidRPr="00693D27" w:rsidTr="00B7449A">
        <w:trPr>
          <w:trHeight w:val="379"/>
        </w:trPr>
        <w:tc>
          <w:tcPr>
            <w:tcW w:w="1857" w:type="dxa"/>
            <w:vMerge/>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tc>
        <w:tc>
          <w:tcPr>
            <w:tcW w:w="1733" w:type="dxa"/>
            <w:gridSpan w:val="2"/>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 xml:space="preserve">           2 o menos</w:t>
            </w:r>
          </w:p>
        </w:tc>
        <w:tc>
          <w:tcPr>
            <w:tcW w:w="1733" w:type="dxa"/>
            <w:gridSpan w:val="2"/>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3 – 5</w:t>
            </w:r>
          </w:p>
        </w:tc>
        <w:tc>
          <w:tcPr>
            <w:tcW w:w="1735" w:type="dxa"/>
            <w:gridSpan w:val="2"/>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Más de 5</w:t>
            </w:r>
          </w:p>
        </w:tc>
        <w:tc>
          <w:tcPr>
            <w:tcW w:w="866" w:type="dxa"/>
            <w:vMerge w:val="restart"/>
            <w:shd w:val="clear" w:color="auto" w:fill="auto"/>
            <w:noWrap/>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Total</w:t>
            </w:r>
          </w:p>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p w:rsidR="00C71485" w:rsidRPr="00693D27" w:rsidRDefault="00C71485" w:rsidP="00B7449A">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No</w:t>
            </w:r>
            <w:r w:rsidR="00B7449A">
              <w:rPr>
                <w:rFonts w:ascii="Arial" w:eastAsia="Times New Roman" w:hAnsi="Arial" w:cs="Arial"/>
                <w:color w:val="000000"/>
                <w:sz w:val="24"/>
                <w:szCs w:val="24"/>
                <w:lang w:val="es-PE" w:eastAsia="es-MX"/>
              </w:rPr>
              <w:t>.</w:t>
            </w:r>
          </w:p>
        </w:tc>
        <w:tc>
          <w:tcPr>
            <w:tcW w:w="990" w:type="dxa"/>
            <w:vMerge w:val="restart"/>
            <w:shd w:val="clear" w:color="auto" w:fill="auto"/>
            <w:noWrap/>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w:t>
            </w:r>
          </w:p>
        </w:tc>
      </w:tr>
      <w:tr w:rsidR="00C71485" w:rsidRPr="00693D27" w:rsidTr="00B7449A">
        <w:trPr>
          <w:trHeight w:val="379"/>
        </w:trPr>
        <w:tc>
          <w:tcPr>
            <w:tcW w:w="1857" w:type="dxa"/>
            <w:vMerge/>
            <w:tcBorders>
              <w:bottom w:val="single" w:sz="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tc>
        <w:tc>
          <w:tcPr>
            <w:tcW w:w="866" w:type="dxa"/>
            <w:tcBorders>
              <w:bottom w:val="single" w:sz="2" w:space="0" w:color="auto"/>
            </w:tcBorders>
            <w:shd w:val="clear" w:color="auto" w:fill="auto"/>
            <w:noWrap/>
            <w:vAlign w:val="center"/>
            <w:hideMark/>
          </w:tcPr>
          <w:p w:rsidR="00C71485" w:rsidRPr="00693D27" w:rsidRDefault="00C71485" w:rsidP="00B7449A">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No</w:t>
            </w:r>
            <w:r w:rsidR="00B7449A">
              <w:rPr>
                <w:rFonts w:ascii="Arial" w:eastAsia="Times New Roman" w:hAnsi="Arial" w:cs="Arial"/>
                <w:color w:val="000000"/>
                <w:sz w:val="24"/>
                <w:szCs w:val="24"/>
                <w:lang w:val="es-PE" w:eastAsia="es-MX"/>
              </w:rPr>
              <w:t>.</w:t>
            </w:r>
          </w:p>
        </w:tc>
        <w:tc>
          <w:tcPr>
            <w:tcW w:w="866" w:type="dxa"/>
            <w:tcBorders>
              <w:bottom w:val="single" w:sz="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w:t>
            </w:r>
          </w:p>
        </w:tc>
        <w:tc>
          <w:tcPr>
            <w:tcW w:w="866" w:type="dxa"/>
            <w:tcBorders>
              <w:bottom w:val="single" w:sz="2" w:space="0" w:color="auto"/>
            </w:tcBorders>
            <w:shd w:val="clear" w:color="auto" w:fill="auto"/>
            <w:noWrap/>
            <w:vAlign w:val="center"/>
            <w:hideMark/>
          </w:tcPr>
          <w:p w:rsidR="00C71485" w:rsidRPr="00693D27" w:rsidRDefault="00C71485" w:rsidP="00B7449A">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No</w:t>
            </w:r>
            <w:r w:rsidR="00B7449A">
              <w:rPr>
                <w:rFonts w:ascii="Arial" w:eastAsia="Times New Roman" w:hAnsi="Arial" w:cs="Arial"/>
                <w:color w:val="000000"/>
                <w:sz w:val="24"/>
                <w:szCs w:val="24"/>
                <w:lang w:val="es-PE" w:eastAsia="es-MX"/>
              </w:rPr>
              <w:t>.</w:t>
            </w:r>
          </w:p>
        </w:tc>
        <w:tc>
          <w:tcPr>
            <w:tcW w:w="866" w:type="dxa"/>
            <w:tcBorders>
              <w:bottom w:val="single" w:sz="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w:t>
            </w:r>
          </w:p>
        </w:tc>
        <w:tc>
          <w:tcPr>
            <w:tcW w:w="866" w:type="dxa"/>
            <w:tcBorders>
              <w:bottom w:val="single" w:sz="2" w:space="0" w:color="auto"/>
            </w:tcBorders>
            <w:vAlign w:val="center"/>
          </w:tcPr>
          <w:p w:rsidR="00C71485" w:rsidRPr="00693D27" w:rsidRDefault="00C71485" w:rsidP="00B7449A">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No</w:t>
            </w:r>
            <w:r w:rsidR="00B7449A">
              <w:rPr>
                <w:rFonts w:ascii="Arial" w:eastAsia="Times New Roman" w:hAnsi="Arial" w:cs="Arial"/>
                <w:color w:val="000000"/>
                <w:sz w:val="24"/>
                <w:szCs w:val="24"/>
                <w:lang w:val="es-PE" w:eastAsia="es-MX"/>
              </w:rPr>
              <w:t>.</w:t>
            </w:r>
          </w:p>
        </w:tc>
        <w:tc>
          <w:tcPr>
            <w:tcW w:w="869" w:type="dxa"/>
            <w:tcBorders>
              <w:bottom w:val="single" w:sz="2" w:space="0" w:color="auto"/>
            </w:tcBorders>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w:t>
            </w:r>
          </w:p>
        </w:tc>
        <w:tc>
          <w:tcPr>
            <w:tcW w:w="866" w:type="dxa"/>
            <w:vMerge/>
            <w:tcBorders>
              <w:bottom w:val="single" w:sz="2" w:space="0" w:color="auto"/>
            </w:tcBorders>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tc>
        <w:tc>
          <w:tcPr>
            <w:tcW w:w="990" w:type="dxa"/>
            <w:vMerge/>
            <w:tcBorders>
              <w:bottom w:val="single" w:sz="2" w:space="0" w:color="auto"/>
            </w:tcBorders>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p>
        </w:tc>
      </w:tr>
      <w:tr w:rsidR="00C71485" w:rsidRPr="00693D27" w:rsidTr="00B7449A">
        <w:trPr>
          <w:trHeight w:val="379"/>
        </w:trPr>
        <w:tc>
          <w:tcPr>
            <w:tcW w:w="1857" w:type="dxa"/>
            <w:tcBorders>
              <w:top w:val="single" w:sz="2" w:space="0" w:color="auto"/>
            </w:tcBorders>
            <w:shd w:val="clear" w:color="auto" w:fill="auto"/>
            <w:vAlign w:val="center"/>
            <w:hideMark/>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 – 5</w:t>
            </w:r>
          </w:p>
        </w:tc>
        <w:tc>
          <w:tcPr>
            <w:tcW w:w="866"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92</w:t>
            </w:r>
          </w:p>
        </w:tc>
        <w:tc>
          <w:tcPr>
            <w:tcW w:w="866"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53,2</w:t>
            </w:r>
          </w:p>
        </w:tc>
        <w:tc>
          <w:tcPr>
            <w:tcW w:w="866"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10</w:t>
            </w:r>
          </w:p>
        </w:tc>
        <w:tc>
          <w:tcPr>
            <w:tcW w:w="866"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5,8</w:t>
            </w:r>
          </w:p>
        </w:tc>
        <w:tc>
          <w:tcPr>
            <w:tcW w:w="866" w:type="dxa"/>
            <w:tcBorders>
              <w:top w:val="single" w:sz="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0</w:t>
            </w:r>
          </w:p>
        </w:tc>
        <w:tc>
          <w:tcPr>
            <w:tcW w:w="869" w:type="dxa"/>
            <w:tcBorders>
              <w:top w:val="single" w:sz="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w:t>
            </w:r>
          </w:p>
        </w:tc>
        <w:tc>
          <w:tcPr>
            <w:tcW w:w="866"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102</w:t>
            </w:r>
          </w:p>
        </w:tc>
        <w:tc>
          <w:tcPr>
            <w:tcW w:w="990" w:type="dxa"/>
            <w:tcBorders>
              <w:top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59,0</w:t>
            </w:r>
          </w:p>
        </w:tc>
      </w:tr>
      <w:tr w:rsidR="00C71485" w:rsidRPr="00693D27" w:rsidTr="00B7449A">
        <w:trPr>
          <w:trHeight w:val="379"/>
        </w:trPr>
        <w:tc>
          <w:tcPr>
            <w:tcW w:w="1857" w:type="dxa"/>
            <w:shd w:val="clear" w:color="auto" w:fill="auto"/>
            <w:vAlign w:val="center"/>
            <w:hideMark/>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6 -10</w:t>
            </w:r>
          </w:p>
        </w:tc>
        <w:tc>
          <w:tcPr>
            <w:tcW w:w="866"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21</w:t>
            </w:r>
          </w:p>
        </w:tc>
        <w:tc>
          <w:tcPr>
            <w:tcW w:w="866"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12,1</w:t>
            </w:r>
          </w:p>
        </w:tc>
        <w:tc>
          <w:tcPr>
            <w:tcW w:w="866"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29</w:t>
            </w:r>
          </w:p>
        </w:tc>
        <w:tc>
          <w:tcPr>
            <w:tcW w:w="866"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16,8</w:t>
            </w:r>
          </w:p>
        </w:tc>
        <w:tc>
          <w:tcPr>
            <w:tcW w:w="866" w:type="dxa"/>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7</w:t>
            </w:r>
          </w:p>
        </w:tc>
        <w:tc>
          <w:tcPr>
            <w:tcW w:w="869" w:type="dxa"/>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4,0</w:t>
            </w:r>
          </w:p>
        </w:tc>
        <w:tc>
          <w:tcPr>
            <w:tcW w:w="866"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 xml:space="preserve"> 57</w:t>
            </w:r>
          </w:p>
        </w:tc>
        <w:tc>
          <w:tcPr>
            <w:tcW w:w="990" w:type="dxa"/>
            <w:shd w:val="clear" w:color="auto" w:fill="auto"/>
            <w:noWrap/>
            <w:vAlign w:val="center"/>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32,9</w:t>
            </w:r>
          </w:p>
        </w:tc>
      </w:tr>
      <w:tr w:rsidR="00C71485" w:rsidRPr="00693D27" w:rsidTr="00B7449A">
        <w:trPr>
          <w:trHeight w:val="379"/>
        </w:trPr>
        <w:tc>
          <w:tcPr>
            <w:tcW w:w="1857" w:type="dxa"/>
            <w:tcBorders>
              <w:bottom w:val="single" w:sz="2" w:space="0" w:color="auto"/>
            </w:tcBorders>
            <w:shd w:val="clear" w:color="auto" w:fill="auto"/>
            <w:vAlign w:val="center"/>
            <w:hideMark/>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Más de 10</w:t>
            </w:r>
          </w:p>
        </w:tc>
        <w:tc>
          <w:tcPr>
            <w:tcW w:w="866"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12</w:t>
            </w:r>
          </w:p>
        </w:tc>
        <w:tc>
          <w:tcPr>
            <w:tcW w:w="866"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6,9</w:t>
            </w:r>
          </w:p>
        </w:tc>
        <w:tc>
          <w:tcPr>
            <w:tcW w:w="866"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0</w:t>
            </w:r>
          </w:p>
        </w:tc>
        <w:tc>
          <w:tcPr>
            <w:tcW w:w="866"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w:t>
            </w:r>
          </w:p>
        </w:tc>
        <w:tc>
          <w:tcPr>
            <w:tcW w:w="866" w:type="dxa"/>
            <w:tcBorders>
              <w:bottom w:val="single" w:sz="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2</w:t>
            </w:r>
          </w:p>
        </w:tc>
        <w:tc>
          <w:tcPr>
            <w:tcW w:w="869" w:type="dxa"/>
            <w:tcBorders>
              <w:bottom w:val="single" w:sz="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1,2</w:t>
            </w:r>
          </w:p>
        </w:tc>
        <w:tc>
          <w:tcPr>
            <w:tcW w:w="866"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14</w:t>
            </w:r>
          </w:p>
        </w:tc>
        <w:tc>
          <w:tcPr>
            <w:tcW w:w="990" w:type="dxa"/>
            <w:tcBorders>
              <w:bottom w:val="single" w:sz="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color w:val="C00000"/>
                <w:sz w:val="24"/>
                <w:szCs w:val="24"/>
                <w:lang w:val="es-PE" w:eastAsia="es-MX"/>
              </w:rPr>
            </w:pPr>
            <w:r w:rsidRPr="00693D27">
              <w:rPr>
                <w:rFonts w:ascii="Arial" w:eastAsia="Times New Roman" w:hAnsi="Arial" w:cs="Arial"/>
                <w:sz w:val="24"/>
                <w:szCs w:val="24"/>
                <w:lang w:val="es-PE" w:eastAsia="es-MX"/>
              </w:rPr>
              <w:t xml:space="preserve">  8,1</w:t>
            </w:r>
          </w:p>
        </w:tc>
      </w:tr>
      <w:tr w:rsidR="00C71485" w:rsidRPr="00693D27" w:rsidTr="00B7449A">
        <w:trPr>
          <w:trHeight w:val="379"/>
        </w:trPr>
        <w:tc>
          <w:tcPr>
            <w:tcW w:w="1857" w:type="dxa"/>
            <w:tcBorders>
              <w:top w:val="single" w:sz="2" w:space="0" w:color="auto"/>
              <w:bottom w:val="single" w:sz="12" w:space="0" w:color="auto"/>
            </w:tcBorders>
            <w:shd w:val="clear" w:color="auto" w:fill="auto"/>
            <w:vAlign w:val="center"/>
            <w:hideMark/>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Total</w:t>
            </w:r>
          </w:p>
        </w:tc>
        <w:tc>
          <w:tcPr>
            <w:tcW w:w="866" w:type="dxa"/>
            <w:tcBorders>
              <w:top w:val="single" w:sz="2" w:space="0" w:color="auto"/>
              <w:bottom w:val="single" w:sz="1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125</w:t>
            </w:r>
          </w:p>
        </w:tc>
        <w:tc>
          <w:tcPr>
            <w:tcW w:w="866" w:type="dxa"/>
            <w:tcBorders>
              <w:top w:val="single" w:sz="2" w:space="0" w:color="auto"/>
              <w:bottom w:val="single" w:sz="1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72,3</w:t>
            </w:r>
          </w:p>
        </w:tc>
        <w:tc>
          <w:tcPr>
            <w:tcW w:w="866" w:type="dxa"/>
            <w:tcBorders>
              <w:top w:val="single" w:sz="2" w:space="0" w:color="auto"/>
              <w:bottom w:val="single" w:sz="1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39</w:t>
            </w:r>
          </w:p>
        </w:tc>
        <w:tc>
          <w:tcPr>
            <w:tcW w:w="866" w:type="dxa"/>
            <w:tcBorders>
              <w:top w:val="single" w:sz="2" w:space="0" w:color="auto"/>
              <w:bottom w:val="single" w:sz="12" w:space="0" w:color="auto"/>
            </w:tcBorders>
            <w:shd w:val="clear" w:color="auto" w:fill="auto"/>
            <w:noWrap/>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22,5</w:t>
            </w:r>
          </w:p>
        </w:tc>
        <w:tc>
          <w:tcPr>
            <w:tcW w:w="866" w:type="dxa"/>
            <w:tcBorders>
              <w:top w:val="single" w:sz="2" w:space="0" w:color="auto"/>
              <w:bottom w:val="single" w:sz="1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9</w:t>
            </w:r>
          </w:p>
        </w:tc>
        <w:tc>
          <w:tcPr>
            <w:tcW w:w="869" w:type="dxa"/>
            <w:tcBorders>
              <w:top w:val="single" w:sz="2" w:space="0" w:color="auto"/>
              <w:bottom w:val="single" w:sz="12" w:space="0" w:color="auto"/>
            </w:tcBorders>
            <w:vAlign w:val="center"/>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5,2</w:t>
            </w:r>
          </w:p>
        </w:tc>
        <w:tc>
          <w:tcPr>
            <w:tcW w:w="866" w:type="dxa"/>
            <w:tcBorders>
              <w:top w:val="single" w:sz="2" w:space="0" w:color="auto"/>
              <w:bottom w:val="single" w:sz="1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sz w:val="24"/>
                <w:szCs w:val="24"/>
                <w:lang w:val="es-PE" w:eastAsia="es-MX"/>
              </w:rPr>
            </w:pPr>
            <w:r w:rsidRPr="00693D27">
              <w:rPr>
                <w:rFonts w:ascii="Arial" w:eastAsia="Times New Roman" w:hAnsi="Arial" w:cs="Arial"/>
                <w:sz w:val="24"/>
                <w:szCs w:val="24"/>
                <w:lang w:val="es-PE" w:eastAsia="es-MX"/>
              </w:rPr>
              <w:t>173</w:t>
            </w:r>
          </w:p>
        </w:tc>
        <w:tc>
          <w:tcPr>
            <w:tcW w:w="990" w:type="dxa"/>
            <w:tcBorders>
              <w:top w:val="single" w:sz="2" w:space="0" w:color="auto"/>
              <w:bottom w:val="single" w:sz="12" w:space="0" w:color="auto"/>
            </w:tcBorders>
            <w:shd w:val="clear" w:color="auto" w:fill="auto"/>
            <w:noWrap/>
            <w:vAlign w:val="center"/>
            <w:hideMark/>
          </w:tcPr>
          <w:p w:rsidR="00C71485" w:rsidRPr="00693D27" w:rsidRDefault="00C71485" w:rsidP="00797188">
            <w:pPr>
              <w:spacing w:after="0" w:line="240" w:lineRule="auto"/>
              <w:jc w:val="both"/>
              <w:rPr>
                <w:rFonts w:ascii="Arial" w:eastAsia="Times New Roman" w:hAnsi="Arial" w:cs="Arial"/>
                <w:color w:val="000000"/>
                <w:sz w:val="24"/>
                <w:szCs w:val="24"/>
                <w:lang w:val="es-PE" w:eastAsia="es-MX"/>
              </w:rPr>
            </w:pPr>
            <w:r w:rsidRPr="00693D27">
              <w:rPr>
                <w:rFonts w:ascii="Arial" w:eastAsia="Times New Roman" w:hAnsi="Arial" w:cs="Arial"/>
                <w:color w:val="000000"/>
                <w:sz w:val="24"/>
                <w:szCs w:val="24"/>
                <w:lang w:val="es-PE" w:eastAsia="es-MX"/>
              </w:rPr>
              <w:t>100,0</w:t>
            </w:r>
          </w:p>
        </w:tc>
      </w:tr>
    </w:tbl>
    <w:p w:rsidR="00C71485" w:rsidRDefault="00C71485" w:rsidP="00797188">
      <w:pPr>
        <w:jc w:val="both"/>
        <w:rPr>
          <w:rFonts w:ascii="Arial" w:hAnsi="Arial" w:cs="Arial"/>
          <w:sz w:val="20"/>
          <w:szCs w:val="20"/>
          <w:lang w:val="es-PE"/>
        </w:rPr>
      </w:pPr>
      <w:r w:rsidRPr="00693D27">
        <w:rPr>
          <w:rFonts w:ascii="Arial" w:hAnsi="Arial" w:cs="Arial"/>
          <w:sz w:val="20"/>
          <w:szCs w:val="20"/>
          <w:lang w:val="es-PE"/>
        </w:rPr>
        <w:t xml:space="preserve">Fuente: Encuesta                               </w:t>
      </w:r>
      <w:r>
        <w:rPr>
          <w:rFonts w:ascii="Arial" w:hAnsi="Arial" w:cs="Arial"/>
          <w:sz w:val="20"/>
          <w:szCs w:val="20"/>
          <w:lang w:val="es-PE"/>
        </w:rPr>
        <w:t xml:space="preserve">            </w:t>
      </w:r>
    </w:p>
    <w:p w:rsidR="0074734D" w:rsidRPr="0074734D" w:rsidRDefault="0074734D" w:rsidP="00797188">
      <w:pPr>
        <w:jc w:val="both"/>
        <w:rPr>
          <w:rFonts w:ascii="Arial" w:hAnsi="Arial" w:cs="Arial"/>
          <w:sz w:val="20"/>
          <w:szCs w:val="20"/>
          <w:lang w:val="es-PE"/>
        </w:rPr>
      </w:pPr>
    </w:p>
    <w:p w:rsidR="00A25914" w:rsidRPr="00180258" w:rsidRDefault="00B51C97" w:rsidP="00797188">
      <w:pPr>
        <w:jc w:val="both"/>
        <w:rPr>
          <w:rFonts w:ascii="Arial" w:hAnsi="Arial" w:cs="Arial"/>
          <w:b/>
          <w:sz w:val="24"/>
          <w:szCs w:val="24"/>
        </w:rPr>
      </w:pPr>
      <w:r>
        <w:rPr>
          <w:rFonts w:ascii="Arial" w:hAnsi="Arial" w:cs="Arial"/>
          <w:b/>
          <w:sz w:val="24"/>
          <w:szCs w:val="24"/>
        </w:rPr>
        <w:t>DISCUSIÓN</w:t>
      </w:r>
    </w:p>
    <w:p w:rsidR="00032FFD" w:rsidRPr="00180258" w:rsidRDefault="00032FFD" w:rsidP="00797188">
      <w:pPr>
        <w:jc w:val="both"/>
        <w:rPr>
          <w:rFonts w:ascii="Arial" w:hAnsi="Arial" w:cs="Arial"/>
          <w:sz w:val="24"/>
          <w:szCs w:val="24"/>
        </w:rPr>
      </w:pPr>
      <w:r w:rsidRPr="00180258">
        <w:rPr>
          <w:rFonts w:ascii="Arial" w:hAnsi="Arial" w:cs="Arial"/>
          <w:sz w:val="24"/>
          <w:szCs w:val="24"/>
        </w:rPr>
        <w:t xml:space="preserve">En nuestra casuística predominó la infertilidad secundaria; </w:t>
      </w:r>
      <w:r w:rsidR="00E674EA" w:rsidRPr="00180258">
        <w:rPr>
          <w:rFonts w:ascii="Arial" w:hAnsi="Arial" w:cs="Arial"/>
          <w:sz w:val="24"/>
          <w:szCs w:val="24"/>
        </w:rPr>
        <w:t>estos resultados</w:t>
      </w:r>
      <w:r w:rsidRPr="00180258">
        <w:rPr>
          <w:rFonts w:ascii="Arial" w:hAnsi="Arial" w:cs="Arial"/>
          <w:sz w:val="24"/>
          <w:szCs w:val="24"/>
        </w:rPr>
        <w:t xml:space="preserve"> coinciden co</w:t>
      </w:r>
      <w:r w:rsidR="00B529B2" w:rsidRPr="00180258">
        <w:rPr>
          <w:rFonts w:ascii="Arial" w:hAnsi="Arial" w:cs="Arial"/>
          <w:sz w:val="24"/>
          <w:szCs w:val="24"/>
        </w:rPr>
        <w:t xml:space="preserve">n lo reportado por </w:t>
      </w:r>
      <w:r w:rsidR="00F73F37">
        <w:rPr>
          <w:rFonts w:ascii="Arial" w:hAnsi="Arial" w:cs="Arial"/>
          <w:sz w:val="24"/>
          <w:szCs w:val="24"/>
        </w:rPr>
        <w:t>Valle Pimienta</w:t>
      </w:r>
      <w:r w:rsidR="000B76B4">
        <w:rPr>
          <w:rFonts w:ascii="Arial" w:hAnsi="Arial" w:cs="Arial"/>
          <w:sz w:val="24"/>
          <w:szCs w:val="24"/>
        </w:rPr>
        <w:t xml:space="preserve"> T</w:t>
      </w:r>
      <w:r w:rsidRPr="00180258">
        <w:rPr>
          <w:rFonts w:ascii="Arial" w:hAnsi="Arial" w:cs="Arial"/>
          <w:sz w:val="24"/>
          <w:szCs w:val="24"/>
        </w:rPr>
        <w:t>.</w:t>
      </w:r>
      <w:r w:rsidR="00F1014A">
        <w:rPr>
          <w:rFonts w:ascii="Arial" w:hAnsi="Arial" w:cs="Arial"/>
          <w:sz w:val="24"/>
          <w:szCs w:val="24"/>
          <w:vertAlign w:val="superscript"/>
        </w:rPr>
        <w:t>(</w:t>
      </w:r>
      <w:r w:rsidR="009D3FC6">
        <w:rPr>
          <w:rFonts w:ascii="Arial" w:hAnsi="Arial" w:cs="Arial"/>
          <w:sz w:val="24"/>
          <w:szCs w:val="24"/>
          <w:vertAlign w:val="superscript"/>
        </w:rPr>
        <w:t>9</w:t>
      </w:r>
      <w:r w:rsidR="00F1014A">
        <w:rPr>
          <w:rFonts w:ascii="Arial" w:hAnsi="Arial" w:cs="Arial"/>
          <w:sz w:val="24"/>
          <w:szCs w:val="24"/>
          <w:vertAlign w:val="superscript"/>
        </w:rPr>
        <w:t>)</w:t>
      </w:r>
      <w:r w:rsidRPr="00180258">
        <w:rPr>
          <w:rFonts w:ascii="Arial" w:hAnsi="Arial" w:cs="Arial"/>
          <w:sz w:val="24"/>
          <w:szCs w:val="24"/>
        </w:rPr>
        <w:t xml:space="preserve"> en un estudio reali</w:t>
      </w:r>
      <w:r w:rsidR="00F73F37">
        <w:rPr>
          <w:rFonts w:ascii="Arial" w:hAnsi="Arial" w:cs="Arial"/>
          <w:sz w:val="24"/>
          <w:szCs w:val="24"/>
        </w:rPr>
        <w:t xml:space="preserve">zado en Pinar </w:t>
      </w:r>
      <w:r w:rsidR="00F73F37">
        <w:rPr>
          <w:rFonts w:ascii="Arial" w:hAnsi="Arial" w:cs="Arial"/>
          <w:sz w:val="24"/>
          <w:szCs w:val="24"/>
        </w:rPr>
        <w:lastRenderedPageBreak/>
        <w:t>del Río en el 2020</w:t>
      </w:r>
      <w:r w:rsidRPr="00180258">
        <w:rPr>
          <w:rFonts w:ascii="Arial" w:hAnsi="Arial" w:cs="Arial"/>
          <w:sz w:val="24"/>
          <w:szCs w:val="24"/>
        </w:rPr>
        <w:t>.</w:t>
      </w:r>
      <w:r w:rsidR="00F1014A">
        <w:rPr>
          <w:rFonts w:ascii="Arial" w:hAnsi="Arial" w:cs="Arial"/>
          <w:sz w:val="24"/>
          <w:szCs w:val="24"/>
        </w:rPr>
        <w:t xml:space="preserve"> </w:t>
      </w:r>
      <w:r w:rsidR="00022C67" w:rsidRPr="00180258">
        <w:rPr>
          <w:rFonts w:ascii="Arial" w:hAnsi="Arial" w:cs="Arial"/>
          <w:sz w:val="24"/>
          <w:szCs w:val="24"/>
        </w:rPr>
        <w:t>Noa</w:t>
      </w:r>
      <w:r w:rsidR="00F1014A">
        <w:rPr>
          <w:rFonts w:ascii="Arial" w:hAnsi="Arial" w:cs="Arial"/>
          <w:sz w:val="24"/>
          <w:szCs w:val="24"/>
        </w:rPr>
        <w:t xml:space="preserve"> Domínguez E</w:t>
      </w:r>
      <w:r w:rsidR="00F1014A">
        <w:rPr>
          <w:rFonts w:ascii="Arial" w:hAnsi="Arial" w:cs="Arial"/>
          <w:sz w:val="24"/>
          <w:szCs w:val="24"/>
          <w:vertAlign w:val="superscript"/>
        </w:rPr>
        <w:t>(</w:t>
      </w:r>
      <w:r w:rsidR="00E674EA" w:rsidRPr="00F1014A">
        <w:rPr>
          <w:rFonts w:ascii="Arial" w:hAnsi="Arial" w:cs="Arial"/>
          <w:sz w:val="24"/>
          <w:szCs w:val="24"/>
          <w:vertAlign w:val="superscript"/>
        </w:rPr>
        <w:t>1</w:t>
      </w:r>
      <w:r w:rsidR="00F1014A">
        <w:rPr>
          <w:rFonts w:ascii="Arial" w:hAnsi="Arial" w:cs="Arial"/>
          <w:sz w:val="24"/>
          <w:szCs w:val="24"/>
          <w:vertAlign w:val="superscript"/>
        </w:rPr>
        <w:t>)</w:t>
      </w:r>
      <w:r w:rsidR="00E674EA" w:rsidRPr="00180258">
        <w:rPr>
          <w:rFonts w:ascii="Arial" w:hAnsi="Arial" w:cs="Arial"/>
          <w:sz w:val="24"/>
          <w:szCs w:val="24"/>
          <w:vertAlign w:val="superscript"/>
        </w:rPr>
        <w:t xml:space="preserve"> </w:t>
      </w:r>
      <w:r w:rsidR="00E674EA" w:rsidRPr="00180258">
        <w:rPr>
          <w:rFonts w:ascii="Arial" w:hAnsi="Arial" w:cs="Arial"/>
          <w:sz w:val="24"/>
          <w:szCs w:val="24"/>
        </w:rPr>
        <w:t>por</w:t>
      </w:r>
      <w:r w:rsidRPr="00180258">
        <w:rPr>
          <w:rFonts w:ascii="Arial" w:hAnsi="Arial" w:cs="Arial"/>
          <w:sz w:val="24"/>
          <w:szCs w:val="24"/>
        </w:rPr>
        <w:t xml:space="preserve"> su parte reporta predominio de la infertilidad </w:t>
      </w:r>
      <w:r w:rsidR="00E674EA" w:rsidRPr="00180258">
        <w:rPr>
          <w:rFonts w:ascii="Arial" w:hAnsi="Arial" w:cs="Arial"/>
          <w:sz w:val="24"/>
          <w:szCs w:val="24"/>
        </w:rPr>
        <w:t>secundaria,</w:t>
      </w:r>
      <w:r w:rsidRPr="00180258">
        <w:rPr>
          <w:rFonts w:ascii="Arial" w:hAnsi="Arial" w:cs="Arial"/>
          <w:sz w:val="24"/>
          <w:szCs w:val="24"/>
        </w:rPr>
        <w:t xml:space="preserve"> siendo el grupo de edad más frecuente el de 25 a 29 </w:t>
      </w:r>
      <w:r w:rsidR="00E674EA" w:rsidRPr="00180258">
        <w:rPr>
          <w:rFonts w:ascii="Arial" w:hAnsi="Arial" w:cs="Arial"/>
          <w:sz w:val="24"/>
          <w:szCs w:val="24"/>
        </w:rPr>
        <w:t>años,</w:t>
      </w:r>
      <w:r w:rsidRPr="00180258">
        <w:rPr>
          <w:rFonts w:ascii="Arial" w:hAnsi="Arial" w:cs="Arial"/>
          <w:sz w:val="24"/>
          <w:szCs w:val="24"/>
        </w:rPr>
        <w:t xml:space="preserve"> resultados</w:t>
      </w:r>
      <w:r w:rsidR="0082557F" w:rsidRPr="00180258">
        <w:rPr>
          <w:rFonts w:ascii="Arial" w:hAnsi="Arial" w:cs="Arial"/>
          <w:sz w:val="24"/>
          <w:szCs w:val="24"/>
        </w:rPr>
        <w:t xml:space="preserve"> con los cuales coincidimos</w:t>
      </w:r>
      <w:r w:rsidRPr="00180258">
        <w:rPr>
          <w:rFonts w:ascii="Arial" w:hAnsi="Arial" w:cs="Arial"/>
          <w:sz w:val="24"/>
          <w:szCs w:val="24"/>
        </w:rPr>
        <w:t>.</w:t>
      </w:r>
    </w:p>
    <w:p w:rsidR="00032FFD" w:rsidRPr="00180258" w:rsidRDefault="00022C67" w:rsidP="00797188">
      <w:pPr>
        <w:jc w:val="both"/>
        <w:rPr>
          <w:rFonts w:ascii="Arial" w:hAnsi="Arial" w:cs="Arial"/>
          <w:sz w:val="24"/>
          <w:szCs w:val="24"/>
        </w:rPr>
      </w:pPr>
      <w:r w:rsidRPr="00180258">
        <w:rPr>
          <w:rFonts w:ascii="Arial" w:hAnsi="Arial" w:cs="Arial"/>
          <w:sz w:val="24"/>
          <w:szCs w:val="24"/>
        </w:rPr>
        <w:t xml:space="preserve">Cabrera Figueredo I </w:t>
      </w:r>
      <w:r w:rsidR="00F1014A">
        <w:rPr>
          <w:rFonts w:ascii="Arial" w:hAnsi="Arial" w:cs="Arial"/>
          <w:sz w:val="24"/>
          <w:szCs w:val="24"/>
          <w:vertAlign w:val="superscript"/>
        </w:rPr>
        <w:t>(</w:t>
      </w:r>
      <w:r w:rsidRPr="00180258">
        <w:rPr>
          <w:rFonts w:ascii="Arial" w:hAnsi="Arial" w:cs="Arial"/>
          <w:sz w:val="24"/>
          <w:szCs w:val="24"/>
          <w:vertAlign w:val="superscript"/>
        </w:rPr>
        <w:t>2</w:t>
      </w:r>
      <w:r w:rsidR="00F1014A">
        <w:rPr>
          <w:rFonts w:ascii="Arial" w:hAnsi="Arial" w:cs="Arial"/>
          <w:sz w:val="24"/>
          <w:szCs w:val="24"/>
          <w:vertAlign w:val="superscript"/>
        </w:rPr>
        <w:t>)</w:t>
      </w:r>
      <w:r w:rsidRPr="00180258">
        <w:rPr>
          <w:rFonts w:ascii="Arial" w:hAnsi="Arial" w:cs="Arial"/>
          <w:sz w:val="24"/>
          <w:szCs w:val="24"/>
          <w:vertAlign w:val="superscript"/>
        </w:rPr>
        <w:t xml:space="preserve"> </w:t>
      </w:r>
      <w:r w:rsidR="00032FFD" w:rsidRPr="00180258">
        <w:rPr>
          <w:rFonts w:ascii="Arial" w:hAnsi="Arial" w:cs="Arial"/>
          <w:sz w:val="24"/>
          <w:szCs w:val="24"/>
        </w:rPr>
        <w:t xml:space="preserve">también hallan mayor frecuencia en la infertilidad secundaria con 45,3 %, sin </w:t>
      </w:r>
      <w:r w:rsidR="00E674EA" w:rsidRPr="00180258">
        <w:rPr>
          <w:rFonts w:ascii="Arial" w:hAnsi="Arial" w:cs="Arial"/>
          <w:sz w:val="24"/>
          <w:szCs w:val="24"/>
        </w:rPr>
        <w:t>embargo,</w:t>
      </w:r>
      <w:r w:rsidR="00032FFD" w:rsidRPr="00180258">
        <w:rPr>
          <w:rFonts w:ascii="Arial" w:hAnsi="Arial" w:cs="Arial"/>
          <w:sz w:val="24"/>
          <w:szCs w:val="24"/>
        </w:rPr>
        <w:t xml:space="preserve"> este hallazgo sucedió en el grupo de mujeres de más de 35 años.</w:t>
      </w:r>
    </w:p>
    <w:p w:rsidR="00C72B50" w:rsidRPr="00724796" w:rsidRDefault="00C72B50" w:rsidP="00797188">
      <w:pPr>
        <w:jc w:val="both"/>
        <w:rPr>
          <w:rFonts w:ascii="Arial" w:hAnsi="Arial" w:cs="Arial"/>
          <w:sz w:val="24"/>
          <w:szCs w:val="24"/>
          <w:vertAlign w:val="superscript"/>
        </w:rPr>
      </w:pPr>
      <w:r w:rsidRPr="00180258">
        <w:rPr>
          <w:rFonts w:ascii="Arial" w:hAnsi="Arial" w:cs="Arial"/>
          <w:sz w:val="24"/>
          <w:szCs w:val="24"/>
        </w:rPr>
        <w:t>La infertilidad puede ser primaria o secundaria. La primaria consiste en la incapacidad de una pareja para lograr un embarazo después de un año o más de relaciones sexuales regulares sin emplear métodos anticonceptivos sin el antecedente de haber logrado un embarazo por primera vez. La infertilidad secundaria se refiere a la incapacidad para concebir después de haber concebido con éxito.</w:t>
      </w:r>
      <w:r w:rsidR="00724796">
        <w:rPr>
          <w:rFonts w:ascii="Arial" w:hAnsi="Arial" w:cs="Arial"/>
          <w:sz w:val="24"/>
          <w:szCs w:val="24"/>
          <w:vertAlign w:val="superscript"/>
        </w:rPr>
        <w:t>(2)</w:t>
      </w:r>
    </w:p>
    <w:p w:rsidR="00C72B50" w:rsidRPr="00840FBF" w:rsidRDefault="00C72B50" w:rsidP="00797188">
      <w:pPr>
        <w:jc w:val="both"/>
        <w:rPr>
          <w:rFonts w:ascii="Arial" w:hAnsi="Arial" w:cs="Arial"/>
          <w:sz w:val="24"/>
          <w:szCs w:val="24"/>
        </w:rPr>
      </w:pPr>
      <w:r w:rsidRPr="00180258">
        <w:rPr>
          <w:rFonts w:ascii="Arial" w:hAnsi="Arial" w:cs="Arial"/>
          <w:sz w:val="24"/>
          <w:szCs w:val="24"/>
        </w:rPr>
        <w:t xml:space="preserve">La edad materna es uno de los factores más importantes para la posibilidad de lograr buenos resultados, puesto que mucho antes de la menopausia la reserva ovárica, determinada por la cantidad y calidad de ovocitos disponibles en el ovario, comienza a decrecer a ritmo acelerado. Según artículos revisados la infertilidad de la mujer es doblemente más frecuente a los 35 años que a los 18 años, por lo que se plantea </w:t>
      </w:r>
      <w:r w:rsidR="00E674EA" w:rsidRPr="00180258">
        <w:rPr>
          <w:rFonts w:ascii="Arial" w:hAnsi="Arial" w:cs="Arial"/>
          <w:sz w:val="24"/>
          <w:szCs w:val="24"/>
        </w:rPr>
        <w:t>que,</w:t>
      </w:r>
      <w:r w:rsidRPr="00180258">
        <w:rPr>
          <w:rFonts w:ascii="Arial" w:hAnsi="Arial" w:cs="Arial"/>
          <w:sz w:val="24"/>
          <w:szCs w:val="24"/>
        </w:rPr>
        <w:t xml:space="preserve"> en las mujeres infértiles, la edad constituye un factor importante en cuanto a las posibilidades de lograr un embarazo</w:t>
      </w:r>
      <w:r w:rsidR="00BE2EE4" w:rsidRPr="00180258">
        <w:rPr>
          <w:rFonts w:ascii="Arial" w:hAnsi="Arial" w:cs="Arial"/>
          <w:sz w:val="24"/>
          <w:szCs w:val="24"/>
        </w:rPr>
        <w:t>.</w:t>
      </w:r>
      <w:r w:rsidR="00F1014A">
        <w:rPr>
          <w:rFonts w:ascii="Arial" w:hAnsi="Arial" w:cs="Arial"/>
          <w:sz w:val="24"/>
          <w:szCs w:val="24"/>
          <w:vertAlign w:val="superscript"/>
        </w:rPr>
        <w:t>(</w:t>
      </w:r>
      <w:r w:rsidR="009D3FC6">
        <w:rPr>
          <w:rFonts w:ascii="Arial" w:hAnsi="Arial" w:cs="Arial"/>
          <w:sz w:val="24"/>
          <w:szCs w:val="24"/>
          <w:vertAlign w:val="superscript"/>
        </w:rPr>
        <w:t>10</w:t>
      </w:r>
      <w:r w:rsidR="00F1014A">
        <w:rPr>
          <w:rFonts w:ascii="Arial" w:hAnsi="Arial" w:cs="Arial"/>
          <w:sz w:val="24"/>
          <w:szCs w:val="24"/>
          <w:vertAlign w:val="superscript"/>
        </w:rPr>
        <w:t>)</w:t>
      </w:r>
    </w:p>
    <w:p w:rsidR="00142176" w:rsidRPr="00180258" w:rsidRDefault="00BE2EE4" w:rsidP="00797188">
      <w:pPr>
        <w:jc w:val="both"/>
        <w:rPr>
          <w:rFonts w:ascii="Arial" w:hAnsi="Arial" w:cs="Arial"/>
          <w:sz w:val="24"/>
          <w:szCs w:val="24"/>
        </w:rPr>
      </w:pPr>
      <w:r w:rsidRPr="00180258">
        <w:rPr>
          <w:rFonts w:ascii="Arial" w:hAnsi="Arial" w:cs="Arial"/>
          <w:sz w:val="24"/>
          <w:szCs w:val="24"/>
        </w:rPr>
        <w:t xml:space="preserve">En cuanto a los factores etiológicos de infertilidad por factor femenino, se alcanzó en nuestro estudio una mayor incidencia de infertilidad por factor </w:t>
      </w:r>
      <w:r w:rsidR="00790682">
        <w:rPr>
          <w:rFonts w:ascii="Arial" w:hAnsi="Arial" w:cs="Arial"/>
          <w:sz w:val="24"/>
          <w:szCs w:val="24"/>
        </w:rPr>
        <w:t>c</w:t>
      </w:r>
      <w:r w:rsidR="00E674EA" w:rsidRPr="00180258">
        <w:rPr>
          <w:rFonts w:ascii="Arial" w:hAnsi="Arial" w:cs="Arial"/>
          <w:sz w:val="24"/>
          <w:szCs w:val="24"/>
        </w:rPr>
        <w:t>érvico</w:t>
      </w:r>
      <w:r w:rsidRPr="00180258">
        <w:rPr>
          <w:rFonts w:ascii="Arial" w:hAnsi="Arial" w:cs="Arial"/>
          <w:sz w:val="24"/>
          <w:szCs w:val="24"/>
        </w:rPr>
        <w:t>-vaginal, resultados que se asemeja</w:t>
      </w:r>
      <w:r w:rsidR="00F1014A">
        <w:rPr>
          <w:rFonts w:ascii="Arial" w:hAnsi="Arial" w:cs="Arial"/>
          <w:sz w:val="24"/>
          <w:szCs w:val="24"/>
        </w:rPr>
        <w:t>n a los de Vite J</w:t>
      </w:r>
      <w:r w:rsidR="00F1014A">
        <w:rPr>
          <w:rFonts w:ascii="Arial" w:hAnsi="Arial" w:cs="Arial"/>
          <w:sz w:val="24"/>
          <w:szCs w:val="24"/>
          <w:vertAlign w:val="superscript"/>
        </w:rPr>
        <w:t>(</w:t>
      </w:r>
      <w:r w:rsidR="009D3FC6">
        <w:rPr>
          <w:rFonts w:ascii="Arial" w:hAnsi="Arial" w:cs="Arial"/>
          <w:sz w:val="24"/>
          <w:szCs w:val="24"/>
          <w:vertAlign w:val="superscript"/>
        </w:rPr>
        <w:t>11</w:t>
      </w:r>
      <w:r w:rsidR="00F1014A">
        <w:rPr>
          <w:rFonts w:ascii="Arial" w:hAnsi="Arial" w:cs="Arial"/>
          <w:sz w:val="24"/>
          <w:szCs w:val="24"/>
          <w:vertAlign w:val="superscript"/>
        </w:rPr>
        <w:t>)</w:t>
      </w:r>
      <w:r w:rsidRPr="00180258">
        <w:rPr>
          <w:rFonts w:ascii="Arial" w:hAnsi="Arial" w:cs="Arial"/>
          <w:sz w:val="24"/>
          <w:szCs w:val="24"/>
        </w:rPr>
        <w:t>, con un compromiso del factor cervical del 70</w:t>
      </w:r>
      <w:r w:rsidR="00E674EA" w:rsidRPr="00180258">
        <w:rPr>
          <w:rFonts w:ascii="Arial" w:hAnsi="Arial" w:cs="Arial"/>
          <w:sz w:val="24"/>
          <w:szCs w:val="24"/>
        </w:rPr>
        <w:t>%. No</w:t>
      </w:r>
      <w:r w:rsidRPr="00180258">
        <w:rPr>
          <w:rFonts w:ascii="Arial" w:hAnsi="Arial" w:cs="Arial"/>
          <w:sz w:val="24"/>
          <w:szCs w:val="24"/>
        </w:rPr>
        <w:t xml:space="preserve"> coincidimos con autores como Rojas</w:t>
      </w:r>
      <w:r w:rsidR="00237250" w:rsidRPr="00180258">
        <w:rPr>
          <w:rFonts w:ascii="Arial" w:hAnsi="Arial" w:cs="Arial"/>
          <w:sz w:val="24"/>
          <w:szCs w:val="24"/>
        </w:rPr>
        <w:t xml:space="preserve"> y Cabezas</w:t>
      </w:r>
      <w:r w:rsidR="00F1014A">
        <w:rPr>
          <w:rFonts w:ascii="Arial" w:hAnsi="Arial" w:cs="Arial"/>
          <w:sz w:val="24"/>
          <w:szCs w:val="24"/>
          <w:vertAlign w:val="superscript"/>
        </w:rPr>
        <w:t>(</w:t>
      </w:r>
      <w:r w:rsidR="009D3FC6">
        <w:rPr>
          <w:rFonts w:ascii="Arial" w:hAnsi="Arial" w:cs="Arial"/>
          <w:sz w:val="24"/>
          <w:szCs w:val="24"/>
          <w:vertAlign w:val="superscript"/>
        </w:rPr>
        <w:t>12</w:t>
      </w:r>
      <w:r w:rsidR="00F1014A">
        <w:rPr>
          <w:rFonts w:ascii="Arial" w:hAnsi="Arial" w:cs="Arial"/>
          <w:sz w:val="24"/>
          <w:szCs w:val="24"/>
          <w:vertAlign w:val="superscript"/>
        </w:rPr>
        <w:t>)</w:t>
      </w:r>
      <w:r w:rsidRPr="00180258">
        <w:rPr>
          <w:rFonts w:ascii="Arial" w:hAnsi="Arial" w:cs="Arial"/>
          <w:sz w:val="24"/>
          <w:szCs w:val="24"/>
        </w:rPr>
        <w:t xml:space="preserve"> quien</w:t>
      </w:r>
      <w:r w:rsidR="00237250" w:rsidRPr="00180258">
        <w:rPr>
          <w:rFonts w:ascii="Arial" w:hAnsi="Arial" w:cs="Arial"/>
          <w:sz w:val="24"/>
          <w:szCs w:val="24"/>
        </w:rPr>
        <w:t>es</w:t>
      </w:r>
      <w:r w:rsidRPr="00180258">
        <w:rPr>
          <w:rFonts w:ascii="Arial" w:hAnsi="Arial" w:cs="Arial"/>
          <w:sz w:val="24"/>
          <w:szCs w:val="24"/>
        </w:rPr>
        <w:t xml:space="preserve"> tuv</w:t>
      </w:r>
      <w:r w:rsidR="00237250" w:rsidRPr="00180258">
        <w:rPr>
          <w:rFonts w:ascii="Arial" w:hAnsi="Arial" w:cs="Arial"/>
          <w:sz w:val="24"/>
          <w:szCs w:val="24"/>
        </w:rPr>
        <w:t>ier</w:t>
      </w:r>
      <w:r w:rsidRPr="00180258">
        <w:rPr>
          <w:rFonts w:ascii="Arial" w:hAnsi="Arial" w:cs="Arial"/>
          <w:sz w:val="24"/>
          <w:szCs w:val="24"/>
        </w:rPr>
        <w:t>o</w:t>
      </w:r>
      <w:r w:rsidR="00237250" w:rsidRPr="00180258">
        <w:rPr>
          <w:rFonts w:ascii="Arial" w:hAnsi="Arial" w:cs="Arial"/>
          <w:sz w:val="24"/>
          <w:szCs w:val="24"/>
        </w:rPr>
        <w:t>n</w:t>
      </w:r>
      <w:r w:rsidRPr="00180258">
        <w:rPr>
          <w:rFonts w:ascii="Arial" w:hAnsi="Arial" w:cs="Arial"/>
          <w:sz w:val="24"/>
          <w:szCs w:val="24"/>
        </w:rPr>
        <w:t xml:space="preserve"> predominio del factor tuboperitoneal en 28,19%</w:t>
      </w:r>
      <w:r w:rsidR="00237250" w:rsidRPr="00180258">
        <w:rPr>
          <w:rFonts w:ascii="Arial" w:hAnsi="Arial" w:cs="Arial"/>
          <w:sz w:val="24"/>
          <w:szCs w:val="24"/>
        </w:rPr>
        <w:t>.</w:t>
      </w:r>
      <w:r w:rsidR="008866B2" w:rsidRPr="00180258">
        <w:rPr>
          <w:rFonts w:ascii="Arial" w:hAnsi="Arial" w:cs="Arial"/>
          <w:sz w:val="24"/>
          <w:szCs w:val="24"/>
        </w:rPr>
        <w:t xml:space="preserve">Cabrera Figueredo </w:t>
      </w:r>
      <w:r w:rsidR="008866B2" w:rsidRPr="000F3D23">
        <w:rPr>
          <w:rFonts w:ascii="Arial" w:hAnsi="Arial" w:cs="Arial"/>
          <w:sz w:val="24"/>
          <w:szCs w:val="24"/>
        </w:rPr>
        <w:t>I</w:t>
      </w:r>
      <w:r w:rsidR="000F3D23">
        <w:rPr>
          <w:rFonts w:ascii="Arial" w:hAnsi="Arial" w:cs="Arial"/>
          <w:sz w:val="24"/>
          <w:szCs w:val="24"/>
          <w:vertAlign w:val="superscript"/>
        </w:rPr>
        <w:t>(</w:t>
      </w:r>
      <w:r w:rsidR="008866B2" w:rsidRPr="000F3D23">
        <w:rPr>
          <w:rFonts w:ascii="Arial" w:hAnsi="Arial" w:cs="Arial"/>
          <w:sz w:val="24"/>
          <w:szCs w:val="24"/>
          <w:vertAlign w:val="superscript"/>
        </w:rPr>
        <w:t>2</w:t>
      </w:r>
      <w:r w:rsidR="000F3D23">
        <w:rPr>
          <w:rFonts w:ascii="Arial" w:hAnsi="Arial" w:cs="Arial"/>
          <w:sz w:val="24"/>
          <w:szCs w:val="24"/>
          <w:vertAlign w:val="superscript"/>
        </w:rPr>
        <w:t>)</w:t>
      </w:r>
      <w:r w:rsidR="00E674EA" w:rsidRPr="00180258">
        <w:rPr>
          <w:rFonts w:ascii="Arial" w:hAnsi="Arial" w:cs="Arial"/>
          <w:sz w:val="24"/>
          <w:szCs w:val="24"/>
        </w:rPr>
        <w:t xml:space="preserve"> observó el</w:t>
      </w:r>
      <w:r w:rsidR="00237250" w:rsidRPr="00180258">
        <w:rPr>
          <w:rFonts w:ascii="Arial" w:hAnsi="Arial" w:cs="Arial"/>
          <w:sz w:val="24"/>
          <w:szCs w:val="24"/>
        </w:rPr>
        <w:t xml:space="preserve"> fac</w:t>
      </w:r>
      <w:r w:rsidR="008252C1" w:rsidRPr="00180258">
        <w:rPr>
          <w:rFonts w:ascii="Arial" w:hAnsi="Arial" w:cs="Arial"/>
          <w:sz w:val="24"/>
          <w:szCs w:val="24"/>
        </w:rPr>
        <w:t xml:space="preserve">tor tubario en el </w:t>
      </w:r>
      <w:r w:rsidR="00237250" w:rsidRPr="00180258">
        <w:rPr>
          <w:rFonts w:ascii="Arial" w:hAnsi="Arial" w:cs="Arial"/>
          <w:sz w:val="24"/>
          <w:szCs w:val="24"/>
        </w:rPr>
        <w:t xml:space="preserve">39 </w:t>
      </w:r>
      <w:r w:rsidR="00E674EA" w:rsidRPr="00180258">
        <w:rPr>
          <w:rFonts w:ascii="Arial" w:hAnsi="Arial" w:cs="Arial"/>
          <w:sz w:val="24"/>
          <w:szCs w:val="24"/>
        </w:rPr>
        <w:t>%, seguido</w:t>
      </w:r>
      <w:r w:rsidR="00237250" w:rsidRPr="00180258">
        <w:rPr>
          <w:rFonts w:ascii="Arial" w:hAnsi="Arial" w:cs="Arial"/>
          <w:sz w:val="24"/>
          <w:szCs w:val="24"/>
        </w:rPr>
        <w:t xml:space="preserve"> de las causas ováricas con un 31,9 </w:t>
      </w:r>
      <w:r w:rsidR="00E674EA" w:rsidRPr="00180258">
        <w:rPr>
          <w:rFonts w:ascii="Arial" w:hAnsi="Arial" w:cs="Arial"/>
          <w:sz w:val="24"/>
          <w:szCs w:val="24"/>
        </w:rPr>
        <w:t>%, coincidiendo</w:t>
      </w:r>
      <w:r w:rsidR="001639DB">
        <w:rPr>
          <w:rFonts w:ascii="Arial" w:hAnsi="Arial" w:cs="Arial"/>
          <w:sz w:val="24"/>
          <w:szCs w:val="24"/>
        </w:rPr>
        <w:t xml:space="preserve"> en </w:t>
      </w:r>
      <w:r w:rsidR="008252C1" w:rsidRPr="00180258">
        <w:rPr>
          <w:rFonts w:ascii="Arial" w:hAnsi="Arial" w:cs="Arial"/>
          <w:sz w:val="24"/>
          <w:szCs w:val="24"/>
        </w:rPr>
        <w:t>la presente investigación</w:t>
      </w:r>
      <w:r w:rsidR="001639DB">
        <w:rPr>
          <w:rFonts w:ascii="Arial" w:hAnsi="Arial" w:cs="Arial"/>
          <w:sz w:val="24"/>
          <w:szCs w:val="24"/>
        </w:rPr>
        <w:t xml:space="preserve"> con este último aspecto</w:t>
      </w:r>
      <w:r w:rsidR="008252C1" w:rsidRPr="00180258">
        <w:rPr>
          <w:rFonts w:ascii="Arial" w:hAnsi="Arial" w:cs="Arial"/>
          <w:sz w:val="24"/>
          <w:szCs w:val="24"/>
        </w:rPr>
        <w:t>.</w:t>
      </w:r>
    </w:p>
    <w:p w:rsidR="008252C1" w:rsidRPr="00180258" w:rsidRDefault="008252C1" w:rsidP="00797188">
      <w:pPr>
        <w:jc w:val="both"/>
        <w:rPr>
          <w:rFonts w:ascii="Arial" w:hAnsi="Arial" w:cs="Arial"/>
          <w:sz w:val="24"/>
          <w:szCs w:val="24"/>
        </w:rPr>
      </w:pPr>
      <w:r w:rsidRPr="00180258">
        <w:rPr>
          <w:rFonts w:ascii="Arial" w:hAnsi="Arial" w:cs="Arial"/>
          <w:sz w:val="24"/>
          <w:szCs w:val="24"/>
        </w:rPr>
        <w:t xml:space="preserve">Por lo </w:t>
      </w:r>
      <w:r w:rsidR="00E674EA" w:rsidRPr="00180258">
        <w:rPr>
          <w:rFonts w:ascii="Arial" w:hAnsi="Arial" w:cs="Arial"/>
          <w:sz w:val="24"/>
          <w:szCs w:val="24"/>
        </w:rPr>
        <w:t>tanto,</w:t>
      </w:r>
      <w:r w:rsidRPr="00180258">
        <w:rPr>
          <w:rFonts w:ascii="Arial" w:hAnsi="Arial" w:cs="Arial"/>
          <w:sz w:val="24"/>
          <w:szCs w:val="24"/>
        </w:rPr>
        <w:t xml:space="preserve"> podemos apreciar que la patología tubaria supera el resto de las causas, contrastando con la tendencia a la disminución de la fertilidad en mujeres mayores de 35 años, atribuible al declinar de la función reproductiva.</w:t>
      </w:r>
      <w:r w:rsidR="00F1014A">
        <w:rPr>
          <w:rFonts w:ascii="Arial" w:hAnsi="Arial" w:cs="Arial"/>
          <w:sz w:val="24"/>
          <w:szCs w:val="24"/>
          <w:vertAlign w:val="superscript"/>
        </w:rPr>
        <w:t>(</w:t>
      </w:r>
      <w:r w:rsidR="009D3FC6">
        <w:rPr>
          <w:rFonts w:ascii="Arial" w:hAnsi="Arial" w:cs="Arial"/>
          <w:sz w:val="24"/>
          <w:szCs w:val="24"/>
          <w:vertAlign w:val="superscript"/>
        </w:rPr>
        <w:t>12</w:t>
      </w:r>
      <w:r w:rsidR="00F1014A">
        <w:rPr>
          <w:rFonts w:ascii="Arial" w:hAnsi="Arial" w:cs="Arial"/>
          <w:sz w:val="24"/>
          <w:szCs w:val="24"/>
          <w:vertAlign w:val="superscript"/>
        </w:rPr>
        <w:t>)</w:t>
      </w:r>
    </w:p>
    <w:p w:rsidR="00142176" w:rsidRPr="00180258" w:rsidRDefault="008252C1" w:rsidP="00797188">
      <w:pPr>
        <w:jc w:val="both"/>
        <w:rPr>
          <w:rFonts w:ascii="Arial" w:hAnsi="Arial" w:cs="Arial"/>
          <w:sz w:val="24"/>
          <w:szCs w:val="24"/>
        </w:rPr>
      </w:pPr>
      <w:r w:rsidRPr="00180258">
        <w:rPr>
          <w:rFonts w:ascii="Arial" w:hAnsi="Arial" w:cs="Arial"/>
          <w:sz w:val="24"/>
          <w:szCs w:val="24"/>
        </w:rPr>
        <w:t>En un estudio realizado en el extranjero se ha encontrado que el factor ovárico influye en un 48% de su población infértil.</w:t>
      </w:r>
      <w:r w:rsidR="00F1014A">
        <w:rPr>
          <w:rFonts w:ascii="Arial" w:hAnsi="Arial" w:cs="Arial"/>
          <w:sz w:val="24"/>
          <w:szCs w:val="24"/>
          <w:vertAlign w:val="superscript"/>
        </w:rPr>
        <w:t>(</w:t>
      </w:r>
      <w:r w:rsidR="009D3FC6">
        <w:rPr>
          <w:rFonts w:ascii="Arial" w:hAnsi="Arial" w:cs="Arial"/>
          <w:sz w:val="24"/>
          <w:szCs w:val="24"/>
          <w:vertAlign w:val="superscript"/>
        </w:rPr>
        <w:t>13</w:t>
      </w:r>
      <w:r w:rsidR="00F1014A">
        <w:rPr>
          <w:rFonts w:ascii="Arial" w:hAnsi="Arial" w:cs="Arial"/>
          <w:sz w:val="24"/>
          <w:szCs w:val="24"/>
          <w:vertAlign w:val="superscript"/>
        </w:rPr>
        <w:t>)</w:t>
      </w:r>
      <w:r w:rsidRPr="00180258">
        <w:rPr>
          <w:rFonts w:ascii="Arial" w:hAnsi="Arial" w:cs="Arial"/>
          <w:sz w:val="24"/>
          <w:szCs w:val="24"/>
        </w:rPr>
        <w:t xml:space="preserve"> Nuestros resultados coinciden con lo señalado inicialmente con una incidencia de 28,3%, destacándose como un factor que influye frecuentemente en la infertilidad femenina.</w:t>
      </w:r>
    </w:p>
    <w:p w:rsidR="00EF4CB3" w:rsidRPr="00180258" w:rsidRDefault="00EF4CB3" w:rsidP="00797188">
      <w:pPr>
        <w:jc w:val="both"/>
        <w:rPr>
          <w:rFonts w:ascii="Arial" w:hAnsi="Arial" w:cs="Arial"/>
          <w:sz w:val="24"/>
          <w:szCs w:val="24"/>
          <w:vertAlign w:val="superscript"/>
        </w:rPr>
      </w:pPr>
      <w:r w:rsidRPr="00180258">
        <w:rPr>
          <w:rFonts w:ascii="Arial" w:hAnsi="Arial" w:cs="Arial"/>
          <w:sz w:val="24"/>
          <w:szCs w:val="24"/>
        </w:rPr>
        <w:t>Las investigaciones realizadas para el estudio de la infertilidad incluyen una serie de procederes, algunos de ellos considerados invasivos, por lo cual siempre debemos realizar consentimiento informado previo y uso de antimicrobianos profilácticos en los casos que así lo requieran.</w:t>
      </w:r>
      <w:r w:rsidR="00F1014A">
        <w:rPr>
          <w:rFonts w:ascii="Arial" w:hAnsi="Arial" w:cs="Arial"/>
          <w:sz w:val="24"/>
          <w:szCs w:val="24"/>
          <w:vertAlign w:val="superscript"/>
        </w:rPr>
        <w:t>(</w:t>
      </w:r>
      <w:r w:rsidR="009D3FC6">
        <w:rPr>
          <w:rFonts w:ascii="Arial" w:hAnsi="Arial" w:cs="Arial"/>
          <w:sz w:val="24"/>
          <w:szCs w:val="24"/>
          <w:vertAlign w:val="superscript"/>
        </w:rPr>
        <w:t>11</w:t>
      </w:r>
      <w:r w:rsidR="00F1014A">
        <w:rPr>
          <w:rFonts w:ascii="Arial" w:hAnsi="Arial" w:cs="Arial"/>
          <w:sz w:val="24"/>
          <w:szCs w:val="24"/>
          <w:vertAlign w:val="superscript"/>
        </w:rPr>
        <w:t>)</w:t>
      </w:r>
    </w:p>
    <w:p w:rsidR="00EF4CB3" w:rsidRPr="00180258" w:rsidRDefault="00EF4CB3" w:rsidP="00797188">
      <w:pPr>
        <w:jc w:val="both"/>
        <w:rPr>
          <w:rFonts w:ascii="Arial" w:hAnsi="Arial" w:cs="Arial"/>
          <w:sz w:val="24"/>
          <w:szCs w:val="24"/>
          <w:vertAlign w:val="superscript"/>
        </w:rPr>
      </w:pPr>
      <w:r w:rsidRPr="00180258">
        <w:rPr>
          <w:rFonts w:ascii="Arial" w:hAnsi="Arial" w:cs="Arial"/>
          <w:sz w:val="24"/>
          <w:szCs w:val="24"/>
        </w:rPr>
        <w:lastRenderedPageBreak/>
        <w:t>La histerosalpingografía, aunque es una prueba invasiva sigue siendo de gran utilidad par</w:t>
      </w:r>
      <w:r w:rsidR="003A04BB" w:rsidRPr="00180258">
        <w:rPr>
          <w:rFonts w:ascii="Arial" w:hAnsi="Arial" w:cs="Arial"/>
          <w:sz w:val="24"/>
          <w:szCs w:val="24"/>
        </w:rPr>
        <w:t>a explorar la permeabilidad tubá</w:t>
      </w:r>
      <w:r w:rsidRPr="00180258">
        <w:rPr>
          <w:rFonts w:ascii="Arial" w:hAnsi="Arial" w:cs="Arial"/>
          <w:sz w:val="24"/>
          <w:szCs w:val="24"/>
        </w:rPr>
        <w:t>ri</w:t>
      </w:r>
      <w:r w:rsidR="003A04BB" w:rsidRPr="00180258">
        <w:rPr>
          <w:rFonts w:ascii="Arial" w:hAnsi="Arial" w:cs="Arial"/>
          <w:sz w:val="24"/>
          <w:szCs w:val="24"/>
        </w:rPr>
        <w:t>c</w:t>
      </w:r>
      <w:r w:rsidRPr="00180258">
        <w:rPr>
          <w:rFonts w:ascii="Arial" w:hAnsi="Arial" w:cs="Arial"/>
          <w:sz w:val="24"/>
          <w:szCs w:val="24"/>
        </w:rPr>
        <w:t>a, así como las características del cérvix y la cavidad uterina, en un estudio estandarizado realizado en el instituto nacional de endocrinología, se comprobó la cavidad uterina normal en el 96,7% de los casos, permeabilidad tubárica normal en el 84,9% y obstrucción tubárica en el 15%. Solamente se pudo realizar laparoscopia en 22 mujeres; en el 36,4% de éstas fue anormal.</w:t>
      </w:r>
      <w:r w:rsidR="0070299A">
        <w:rPr>
          <w:rFonts w:ascii="Arial" w:hAnsi="Arial" w:cs="Arial"/>
          <w:sz w:val="24"/>
          <w:szCs w:val="24"/>
          <w:vertAlign w:val="superscript"/>
        </w:rPr>
        <w:t>(</w:t>
      </w:r>
      <w:r w:rsidR="009D3FC6">
        <w:rPr>
          <w:rFonts w:ascii="Arial" w:hAnsi="Arial" w:cs="Arial"/>
          <w:sz w:val="24"/>
          <w:szCs w:val="24"/>
          <w:vertAlign w:val="superscript"/>
        </w:rPr>
        <w:t>14</w:t>
      </w:r>
      <w:r w:rsidR="0070299A">
        <w:rPr>
          <w:rFonts w:ascii="Arial" w:hAnsi="Arial" w:cs="Arial"/>
          <w:sz w:val="24"/>
          <w:szCs w:val="24"/>
          <w:vertAlign w:val="superscript"/>
        </w:rPr>
        <w:t>)</w:t>
      </w:r>
    </w:p>
    <w:p w:rsidR="00EF4CB3" w:rsidRPr="00180258" w:rsidRDefault="00EF4CB3" w:rsidP="00797188">
      <w:pPr>
        <w:jc w:val="both"/>
        <w:rPr>
          <w:rFonts w:ascii="Arial" w:hAnsi="Arial" w:cs="Arial"/>
          <w:sz w:val="24"/>
          <w:szCs w:val="24"/>
          <w:vertAlign w:val="superscript"/>
        </w:rPr>
      </w:pPr>
      <w:r w:rsidRPr="00180258">
        <w:rPr>
          <w:rFonts w:ascii="Arial" w:hAnsi="Arial" w:cs="Arial"/>
          <w:sz w:val="24"/>
          <w:szCs w:val="24"/>
        </w:rPr>
        <w:t>La ecografía tiene un rol primordial en el diagnóstico y manejo de la paciente infértil, por lo cual debe ser una herramienta imprescindible en cada centro de reproducción. Es importante en el diagnóstico inicial del factor uterino y ovárico, así como complementario en lesiones cervicales y tubáricas.</w:t>
      </w:r>
      <w:r w:rsidR="0070299A">
        <w:rPr>
          <w:rFonts w:ascii="Arial" w:hAnsi="Arial" w:cs="Arial"/>
          <w:sz w:val="24"/>
          <w:szCs w:val="24"/>
          <w:vertAlign w:val="superscript"/>
        </w:rPr>
        <w:t>(</w:t>
      </w:r>
      <w:r w:rsidR="00E616F9" w:rsidRPr="00180258">
        <w:rPr>
          <w:rFonts w:ascii="Arial" w:hAnsi="Arial" w:cs="Arial"/>
          <w:sz w:val="24"/>
          <w:szCs w:val="24"/>
          <w:vertAlign w:val="superscript"/>
        </w:rPr>
        <w:t>1</w:t>
      </w:r>
      <w:r w:rsidR="009D3FC6">
        <w:rPr>
          <w:rFonts w:ascii="Arial" w:hAnsi="Arial" w:cs="Arial"/>
          <w:sz w:val="24"/>
          <w:szCs w:val="24"/>
          <w:vertAlign w:val="superscript"/>
        </w:rPr>
        <w:t>5</w:t>
      </w:r>
      <w:r w:rsidR="0070299A">
        <w:rPr>
          <w:rFonts w:ascii="Arial" w:hAnsi="Arial" w:cs="Arial"/>
          <w:sz w:val="24"/>
          <w:szCs w:val="24"/>
          <w:vertAlign w:val="superscript"/>
        </w:rPr>
        <w:t>)</w:t>
      </w:r>
    </w:p>
    <w:p w:rsidR="00E616F9" w:rsidRPr="00180258" w:rsidRDefault="00EF4CB3" w:rsidP="00797188">
      <w:pPr>
        <w:jc w:val="both"/>
        <w:rPr>
          <w:rFonts w:ascii="Arial" w:hAnsi="Arial" w:cs="Arial"/>
          <w:sz w:val="24"/>
          <w:szCs w:val="24"/>
          <w:vertAlign w:val="superscript"/>
        </w:rPr>
      </w:pPr>
      <w:r w:rsidRPr="00180258">
        <w:rPr>
          <w:rFonts w:ascii="Arial" w:hAnsi="Arial" w:cs="Arial"/>
          <w:sz w:val="24"/>
          <w:szCs w:val="24"/>
        </w:rPr>
        <w:t>El seguimiento o monitoreo ecográfico de la ovulación es utilizado para sincronizar el momento adecuado del coito dirigido y la inseminación intrauterina, y cuando la paciente es estimulada con drogas orales o gonadotropinas, para evitar la respuesta multifolicular en ciclos de baja complejidad. En ciclos de alta complejidad, como la fecundación in vitro, es utilizado para controlar el crecimiento folicular, ajustar dosis de gonadotropinas y el momento adecuado para gatillar la ovulación y programar la punción ovárica y l</w:t>
      </w:r>
      <w:r w:rsidR="00953E04" w:rsidRPr="00180258">
        <w:rPr>
          <w:rFonts w:ascii="Arial" w:hAnsi="Arial" w:cs="Arial"/>
          <w:sz w:val="24"/>
          <w:szCs w:val="24"/>
        </w:rPr>
        <w:t>a recuperación de los ovocitos.</w:t>
      </w:r>
      <w:r w:rsidR="0070299A">
        <w:rPr>
          <w:rFonts w:ascii="Arial" w:hAnsi="Arial" w:cs="Arial"/>
          <w:sz w:val="24"/>
          <w:szCs w:val="24"/>
          <w:vertAlign w:val="superscript"/>
        </w:rPr>
        <w:t>(</w:t>
      </w:r>
      <w:r w:rsidR="00E616F9" w:rsidRPr="00180258">
        <w:rPr>
          <w:rFonts w:ascii="Arial" w:hAnsi="Arial" w:cs="Arial"/>
          <w:sz w:val="24"/>
          <w:szCs w:val="24"/>
          <w:vertAlign w:val="superscript"/>
        </w:rPr>
        <w:t>1</w:t>
      </w:r>
      <w:r w:rsidR="009D3FC6">
        <w:rPr>
          <w:rFonts w:ascii="Arial" w:hAnsi="Arial" w:cs="Arial"/>
          <w:sz w:val="24"/>
          <w:szCs w:val="24"/>
          <w:vertAlign w:val="superscript"/>
        </w:rPr>
        <w:t>5</w:t>
      </w:r>
      <w:r w:rsidR="0070299A">
        <w:rPr>
          <w:rFonts w:ascii="Arial" w:hAnsi="Arial" w:cs="Arial"/>
          <w:sz w:val="24"/>
          <w:szCs w:val="24"/>
          <w:vertAlign w:val="superscript"/>
        </w:rPr>
        <w:t>)</w:t>
      </w:r>
      <w:r w:rsidR="00D730A7" w:rsidRPr="00180258">
        <w:rPr>
          <w:rFonts w:ascii="Arial" w:hAnsi="Arial" w:cs="Arial"/>
          <w:sz w:val="24"/>
          <w:szCs w:val="24"/>
        </w:rPr>
        <w:t>En nuestro estudio se le realizó al 80,5% de las pacientes.</w:t>
      </w:r>
    </w:p>
    <w:p w:rsidR="00D730A7" w:rsidRPr="00180258" w:rsidRDefault="00E616F9" w:rsidP="00797188">
      <w:pPr>
        <w:jc w:val="both"/>
        <w:rPr>
          <w:rFonts w:ascii="Arial" w:hAnsi="Arial" w:cs="Arial"/>
          <w:sz w:val="24"/>
          <w:szCs w:val="24"/>
        </w:rPr>
      </w:pPr>
      <w:r w:rsidRPr="00180258">
        <w:rPr>
          <w:rFonts w:ascii="Arial" w:hAnsi="Arial" w:cs="Arial"/>
          <w:sz w:val="24"/>
          <w:szCs w:val="24"/>
        </w:rPr>
        <w:t>El interés creciente para predecir la capacidad de respuesta a los tratamientos de estimulación ovárica en base a la reserva ovárica, ha impulsado el desarrollo de diversos marcadores bioquímicos (Inhibina B, FSH basal, estradiol, hormona a</w:t>
      </w:r>
      <w:r w:rsidR="00184346" w:rsidRPr="00180258">
        <w:rPr>
          <w:rFonts w:ascii="Arial" w:hAnsi="Arial" w:cs="Arial"/>
          <w:sz w:val="24"/>
          <w:szCs w:val="24"/>
        </w:rPr>
        <w:t xml:space="preserve">ntimulleriana), test dinámicos: </w:t>
      </w:r>
      <w:r w:rsidRPr="00180258">
        <w:rPr>
          <w:rFonts w:ascii="Arial" w:hAnsi="Arial" w:cs="Arial"/>
          <w:sz w:val="24"/>
          <w:szCs w:val="24"/>
        </w:rPr>
        <w:t>Test d</w:t>
      </w:r>
      <w:r w:rsidR="00E0372C" w:rsidRPr="00180258">
        <w:rPr>
          <w:rFonts w:ascii="Arial" w:hAnsi="Arial" w:cs="Arial"/>
          <w:sz w:val="24"/>
          <w:szCs w:val="24"/>
        </w:rPr>
        <w:t xml:space="preserve">el clomifeno, Exógenos FSH </w:t>
      </w:r>
      <w:r w:rsidR="00E0372C" w:rsidRPr="001639DB">
        <w:rPr>
          <w:rFonts w:ascii="Arial" w:hAnsi="Arial" w:cs="Arial"/>
          <w:i/>
          <w:sz w:val="24"/>
          <w:szCs w:val="24"/>
        </w:rPr>
        <w:t>Ovari</w:t>
      </w:r>
      <w:r w:rsidRPr="001639DB">
        <w:rPr>
          <w:rFonts w:ascii="Arial" w:hAnsi="Arial" w:cs="Arial"/>
          <w:i/>
          <w:sz w:val="24"/>
          <w:szCs w:val="24"/>
        </w:rPr>
        <w:t>an Reserve Test (EFORT), Gonadotropin</w:t>
      </w:r>
      <w:r w:rsidR="00AF2BA0" w:rsidRPr="001639DB">
        <w:rPr>
          <w:rFonts w:ascii="Arial" w:hAnsi="Arial" w:cs="Arial"/>
          <w:i/>
          <w:sz w:val="24"/>
          <w:szCs w:val="24"/>
        </w:rPr>
        <w:t xml:space="preserve"> </w:t>
      </w:r>
      <w:r w:rsidRPr="001639DB">
        <w:rPr>
          <w:rFonts w:ascii="Arial" w:hAnsi="Arial" w:cs="Arial"/>
          <w:i/>
          <w:sz w:val="24"/>
          <w:szCs w:val="24"/>
        </w:rPr>
        <w:t>Agonist</w:t>
      </w:r>
      <w:r w:rsidR="00AF2BA0" w:rsidRPr="001639DB">
        <w:rPr>
          <w:rFonts w:ascii="Arial" w:hAnsi="Arial" w:cs="Arial"/>
          <w:i/>
          <w:sz w:val="24"/>
          <w:szCs w:val="24"/>
        </w:rPr>
        <w:t xml:space="preserve"> </w:t>
      </w:r>
      <w:r w:rsidRPr="001639DB">
        <w:rPr>
          <w:rFonts w:ascii="Arial" w:hAnsi="Arial" w:cs="Arial"/>
          <w:i/>
          <w:sz w:val="24"/>
          <w:szCs w:val="24"/>
        </w:rPr>
        <w:t>Stimulation test</w:t>
      </w:r>
      <w:r w:rsidR="00E0372C" w:rsidRPr="001639DB">
        <w:rPr>
          <w:rFonts w:ascii="Arial" w:hAnsi="Arial" w:cs="Arial"/>
          <w:i/>
          <w:sz w:val="24"/>
          <w:szCs w:val="24"/>
        </w:rPr>
        <w:t xml:space="preserve"> (GAST),</w:t>
      </w:r>
      <w:r w:rsidR="00E0372C" w:rsidRPr="001639DB">
        <w:rPr>
          <w:rFonts w:ascii="Arial" w:hAnsi="Arial" w:cs="Arial"/>
          <w:sz w:val="24"/>
          <w:szCs w:val="24"/>
        </w:rPr>
        <w:t xml:space="preserve"> </w:t>
      </w:r>
      <w:r w:rsidR="00E0372C" w:rsidRPr="00180258">
        <w:rPr>
          <w:rFonts w:ascii="Arial" w:hAnsi="Arial" w:cs="Arial"/>
          <w:sz w:val="24"/>
          <w:szCs w:val="24"/>
        </w:rPr>
        <w:t>estudios morfo</w:t>
      </w:r>
      <w:r w:rsidRPr="00180258">
        <w:rPr>
          <w:rFonts w:ascii="Arial" w:hAnsi="Arial" w:cs="Arial"/>
          <w:sz w:val="24"/>
          <w:szCs w:val="24"/>
        </w:rPr>
        <w:t>métricos (volumen ovárico, recuento de folículos antrales, flujo sanguíneo del estroma ovárico), e incluso procedimientos quirúrgicos (biopsia ovárica).</w:t>
      </w:r>
      <w:r w:rsidR="0070299A">
        <w:rPr>
          <w:rFonts w:ascii="Arial" w:hAnsi="Arial" w:cs="Arial"/>
          <w:sz w:val="24"/>
          <w:szCs w:val="24"/>
          <w:vertAlign w:val="superscript"/>
        </w:rPr>
        <w:t>(</w:t>
      </w:r>
      <w:r w:rsidR="009D3FC6">
        <w:rPr>
          <w:rFonts w:ascii="Arial" w:hAnsi="Arial" w:cs="Arial"/>
          <w:sz w:val="24"/>
          <w:szCs w:val="24"/>
          <w:vertAlign w:val="superscript"/>
        </w:rPr>
        <w:t>16</w:t>
      </w:r>
      <w:r w:rsidR="0070299A">
        <w:rPr>
          <w:rFonts w:ascii="Arial" w:hAnsi="Arial" w:cs="Arial"/>
          <w:sz w:val="24"/>
          <w:szCs w:val="24"/>
          <w:vertAlign w:val="superscript"/>
        </w:rPr>
        <w:t>)</w:t>
      </w:r>
    </w:p>
    <w:p w:rsidR="00F71CF7" w:rsidRPr="00180258" w:rsidRDefault="00E674EA" w:rsidP="00797188">
      <w:pPr>
        <w:jc w:val="both"/>
        <w:rPr>
          <w:rFonts w:ascii="Arial" w:hAnsi="Arial" w:cs="Arial"/>
          <w:sz w:val="24"/>
          <w:szCs w:val="24"/>
        </w:rPr>
      </w:pPr>
      <w:r w:rsidRPr="00180258">
        <w:rPr>
          <w:rFonts w:ascii="Arial" w:hAnsi="Arial" w:cs="Arial"/>
          <w:sz w:val="24"/>
          <w:szCs w:val="24"/>
        </w:rPr>
        <w:t>En</w:t>
      </w:r>
      <w:r w:rsidR="00F14EC6" w:rsidRPr="00180258">
        <w:rPr>
          <w:rFonts w:ascii="Arial" w:hAnsi="Arial" w:cs="Arial"/>
          <w:sz w:val="24"/>
          <w:szCs w:val="24"/>
        </w:rPr>
        <w:t xml:space="preserve"> los últimos años, se ha dado mayor importancia a las infecciones como causa de infertilidad, quizás porque las enfermedades de transmisión sexual se han incrementado, a nivel mundial, de forma alarmante y están produciendo afecciones que culminan en infertilidad de la pareja.</w:t>
      </w:r>
      <w:r w:rsidR="0070299A">
        <w:rPr>
          <w:rFonts w:ascii="Arial" w:hAnsi="Arial" w:cs="Arial"/>
          <w:sz w:val="24"/>
          <w:szCs w:val="24"/>
          <w:vertAlign w:val="superscript"/>
        </w:rPr>
        <w:t>(</w:t>
      </w:r>
      <w:r w:rsidR="009D3FC6">
        <w:rPr>
          <w:rFonts w:ascii="Arial" w:hAnsi="Arial" w:cs="Arial"/>
          <w:sz w:val="24"/>
          <w:szCs w:val="24"/>
          <w:vertAlign w:val="superscript"/>
        </w:rPr>
        <w:t>17,18</w:t>
      </w:r>
      <w:r w:rsidR="0070299A">
        <w:rPr>
          <w:rFonts w:ascii="Arial" w:hAnsi="Arial" w:cs="Arial"/>
          <w:sz w:val="24"/>
          <w:szCs w:val="24"/>
          <w:vertAlign w:val="superscript"/>
        </w:rPr>
        <w:t>)</w:t>
      </w:r>
    </w:p>
    <w:p w:rsidR="00CA1346" w:rsidRPr="00180258" w:rsidRDefault="008866B2" w:rsidP="00797188">
      <w:pPr>
        <w:jc w:val="both"/>
        <w:rPr>
          <w:rFonts w:ascii="Arial" w:hAnsi="Arial" w:cs="Arial"/>
          <w:sz w:val="24"/>
          <w:szCs w:val="24"/>
          <w:vertAlign w:val="superscript"/>
        </w:rPr>
      </w:pPr>
      <w:r w:rsidRPr="00180258">
        <w:rPr>
          <w:rFonts w:ascii="Arial" w:hAnsi="Arial" w:cs="Arial"/>
          <w:sz w:val="24"/>
          <w:szCs w:val="24"/>
        </w:rPr>
        <w:t>Peña Mantilla A B</w:t>
      </w:r>
      <w:r w:rsidR="0070299A">
        <w:rPr>
          <w:rFonts w:ascii="Arial" w:hAnsi="Arial" w:cs="Arial"/>
          <w:sz w:val="24"/>
          <w:szCs w:val="24"/>
          <w:vertAlign w:val="superscript"/>
        </w:rPr>
        <w:t>(</w:t>
      </w:r>
      <w:r w:rsidR="00A22110">
        <w:rPr>
          <w:rFonts w:ascii="Arial" w:hAnsi="Arial" w:cs="Arial"/>
          <w:sz w:val="24"/>
          <w:szCs w:val="24"/>
          <w:vertAlign w:val="superscript"/>
        </w:rPr>
        <w:t>16</w:t>
      </w:r>
      <w:r w:rsidR="0070299A">
        <w:rPr>
          <w:rFonts w:ascii="Arial" w:hAnsi="Arial" w:cs="Arial"/>
          <w:sz w:val="24"/>
          <w:szCs w:val="24"/>
          <w:vertAlign w:val="superscript"/>
        </w:rPr>
        <w:t>)</w:t>
      </w:r>
      <w:r w:rsidR="00F71CF7" w:rsidRPr="00180258">
        <w:rPr>
          <w:rFonts w:ascii="Arial" w:hAnsi="Arial" w:cs="Arial"/>
          <w:sz w:val="24"/>
          <w:szCs w:val="24"/>
        </w:rPr>
        <w:t xml:space="preserve">, muestran una alta prevalencia de </w:t>
      </w:r>
      <w:r w:rsidR="00F71CF7" w:rsidRPr="00E021F4">
        <w:rPr>
          <w:rFonts w:ascii="Arial" w:hAnsi="Arial" w:cs="Arial"/>
          <w:i/>
          <w:sz w:val="24"/>
          <w:szCs w:val="24"/>
        </w:rPr>
        <w:t>Ureaplasma</w:t>
      </w:r>
      <w:r w:rsidR="00960430">
        <w:rPr>
          <w:rFonts w:ascii="Arial" w:hAnsi="Arial" w:cs="Arial"/>
          <w:i/>
          <w:sz w:val="24"/>
          <w:szCs w:val="24"/>
        </w:rPr>
        <w:t xml:space="preserve"> </w:t>
      </w:r>
      <w:r w:rsidR="00F71CF7" w:rsidRPr="00E021F4">
        <w:rPr>
          <w:rFonts w:ascii="Arial" w:hAnsi="Arial" w:cs="Arial"/>
          <w:i/>
          <w:sz w:val="24"/>
          <w:szCs w:val="24"/>
        </w:rPr>
        <w:t>urealyticum</w:t>
      </w:r>
      <w:r w:rsidR="00F71CF7" w:rsidRPr="00180258">
        <w:rPr>
          <w:rFonts w:ascii="Arial" w:hAnsi="Arial" w:cs="Arial"/>
          <w:sz w:val="24"/>
          <w:szCs w:val="24"/>
        </w:rPr>
        <w:t xml:space="preserve"> con 88 %.</w:t>
      </w:r>
      <w:r w:rsidR="00CA1346" w:rsidRPr="00180258">
        <w:rPr>
          <w:rFonts w:ascii="Arial" w:hAnsi="Arial" w:cs="Arial"/>
          <w:sz w:val="24"/>
          <w:szCs w:val="24"/>
        </w:rPr>
        <w:t xml:space="preserve"> En la presente investigación también hubo </w:t>
      </w:r>
      <w:r w:rsidR="00E674EA" w:rsidRPr="00180258">
        <w:rPr>
          <w:rFonts w:ascii="Arial" w:hAnsi="Arial" w:cs="Arial"/>
          <w:sz w:val="24"/>
          <w:szCs w:val="24"/>
        </w:rPr>
        <w:t>predominio de</w:t>
      </w:r>
      <w:r w:rsidR="00CA1346" w:rsidRPr="00180258">
        <w:rPr>
          <w:rFonts w:ascii="Arial" w:hAnsi="Arial" w:cs="Arial"/>
          <w:sz w:val="24"/>
          <w:szCs w:val="24"/>
        </w:rPr>
        <w:t xml:space="preserve"> infección </w:t>
      </w:r>
      <w:r w:rsidR="00E674EA" w:rsidRPr="00180258">
        <w:rPr>
          <w:rFonts w:ascii="Arial" w:hAnsi="Arial" w:cs="Arial"/>
          <w:sz w:val="24"/>
          <w:szCs w:val="24"/>
        </w:rPr>
        <w:t>cérvicovaginal,</w:t>
      </w:r>
      <w:r w:rsidR="00CA1346" w:rsidRPr="00180258">
        <w:rPr>
          <w:rFonts w:ascii="Arial" w:hAnsi="Arial" w:cs="Arial"/>
          <w:sz w:val="24"/>
          <w:szCs w:val="24"/>
        </w:rPr>
        <w:t xml:space="preserve"> pero en menor cuantía que </w:t>
      </w:r>
      <w:r w:rsidR="00E674EA" w:rsidRPr="00180258">
        <w:rPr>
          <w:rFonts w:ascii="Arial" w:hAnsi="Arial" w:cs="Arial"/>
          <w:sz w:val="24"/>
          <w:szCs w:val="24"/>
        </w:rPr>
        <w:t>Ortiz (</w:t>
      </w:r>
      <w:r w:rsidR="00CA1346" w:rsidRPr="00180258">
        <w:rPr>
          <w:rFonts w:ascii="Arial" w:hAnsi="Arial" w:cs="Arial"/>
          <w:sz w:val="24"/>
          <w:szCs w:val="24"/>
        </w:rPr>
        <w:t xml:space="preserve">35,2 %), representada en mayor grado por </w:t>
      </w:r>
      <w:r w:rsidR="00CA1346" w:rsidRPr="00E021F4">
        <w:rPr>
          <w:rFonts w:ascii="Arial" w:hAnsi="Arial" w:cs="Arial"/>
          <w:i/>
          <w:sz w:val="24"/>
          <w:szCs w:val="24"/>
        </w:rPr>
        <w:t>Chlamydia y Mycoplasma</w:t>
      </w:r>
      <w:r w:rsidR="00CA1346" w:rsidRPr="00180258">
        <w:rPr>
          <w:rFonts w:ascii="Arial" w:hAnsi="Arial" w:cs="Arial"/>
          <w:sz w:val="24"/>
          <w:szCs w:val="24"/>
        </w:rPr>
        <w:t xml:space="preserve">, la cual coincide con </w:t>
      </w:r>
      <w:r w:rsidRPr="00180258">
        <w:rPr>
          <w:rFonts w:ascii="Arial" w:hAnsi="Arial" w:cs="Arial"/>
          <w:sz w:val="24"/>
          <w:szCs w:val="24"/>
        </w:rPr>
        <w:t xml:space="preserve">Rodríguez </w:t>
      </w:r>
      <w:r w:rsidRPr="009D3FC6">
        <w:rPr>
          <w:rFonts w:ascii="Arial" w:hAnsi="Arial" w:cs="Arial"/>
          <w:sz w:val="24"/>
          <w:szCs w:val="24"/>
        </w:rPr>
        <w:t>V</w:t>
      </w:r>
      <w:r w:rsidR="00A22110">
        <w:rPr>
          <w:rFonts w:ascii="Arial" w:hAnsi="Arial" w:cs="Arial"/>
          <w:sz w:val="24"/>
          <w:szCs w:val="24"/>
          <w:vertAlign w:val="superscript"/>
        </w:rPr>
        <w:t>(</w:t>
      </w:r>
      <w:r w:rsidRPr="00A22110">
        <w:rPr>
          <w:rFonts w:ascii="Arial" w:hAnsi="Arial" w:cs="Arial"/>
          <w:sz w:val="24"/>
          <w:szCs w:val="24"/>
          <w:vertAlign w:val="superscript"/>
        </w:rPr>
        <w:t>1</w:t>
      </w:r>
      <w:r w:rsidR="009D3FC6">
        <w:rPr>
          <w:rFonts w:ascii="Arial" w:hAnsi="Arial" w:cs="Arial"/>
          <w:sz w:val="24"/>
          <w:szCs w:val="24"/>
          <w:vertAlign w:val="superscript"/>
        </w:rPr>
        <w:t>9</w:t>
      </w:r>
      <w:r w:rsidR="00A22110">
        <w:rPr>
          <w:rFonts w:ascii="Arial" w:hAnsi="Arial" w:cs="Arial"/>
          <w:sz w:val="24"/>
          <w:szCs w:val="24"/>
          <w:vertAlign w:val="superscript"/>
        </w:rPr>
        <w:t>)</w:t>
      </w:r>
      <w:r w:rsidR="00CA1346" w:rsidRPr="009D3FC6">
        <w:rPr>
          <w:rFonts w:ascii="Arial" w:hAnsi="Arial" w:cs="Arial"/>
          <w:sz w:val="24"/>
          <w:szCs w:val="24"/>
        </w:rPr>
        <w:t xml:space="preserve">el </w:t>
      </w:r>
      <w:r w:rsidR="00CA1346" w:rsidRPr="00180258">
        <w:rPr>
          <w:rFonts w:ascii="Arial" w:hAnsi="Arial" w:cs="Arial"/>
          <w:sz w:val="24"/>
          <w:szCs w:val="24"/>
        </w:rPr>
        <w:t xml:space="preserve">cual encontró una frecuencia de </w:t>
      </w:r>
      <w:r w:rsidR="00CA1346" w:rsidRPr="00E021F4">
        <w:rPr>
          <w:rFonts w:ascii="Arial" w:hAnsi="Arial" w:cs="Arial"/>
          <w:i/>
          <w:sz w:val="24"/>
          <w:szCs w:val="24"/>
        </w:rPr>
        <w:t>Ureaplasma</w:t>
      </w:r>
      <w:r w:rsidR="00E65CF9">
        <w:rPr>
          <w:rFonts w:ascii="Arial" w:hAnsi="Arial" w:cs="Arial"/>
          <w:i/>
          <w:sz w:val="24"/>
          <w:szCs w:val="24"/>
        </w:rPr>
        <w:t xml:space="preserve"> </w:t>
      </w:r>
      <w:r w:rsidR="00CA1346" w:rsidRPr="00E021F4">
        <w:rPr>
          <w:rFonts w:ascii="Arial" w:hAnsi="Arial" w:cs="Arial"/>
          <w:i/>
          <w:sz w:val="24"/>
          <w:szCs w:val="24"/>
        </w:rPr>
        <w:t>urealyticum</w:t>
      </w:r>
      <w:r w:rsidR="00CA1346" w:rsidRPr="00180258">
        <w:rPr>
          <w:rFonts w:ascii="Arial" w:hAnsi="Arial" w:cs="Arial"/>
          <w:sz w:val="24"/>
          <w:szCs w:val="24"/>
        </w:rPr>
        <w:t xml:space="preserve"> de 52,5 %.</w:t>
      </w:r>
    </w:p>
    <w:p w:rsidR="00CA1346" w:rsidRPr="00180258" w:rsidRDefault="00CA1346" w:rsidP="00797188">
      <w:pPr>
        <w:jc w:val="both"/>
        <w:rPr>
          <w:rFonts w:ascii="Arial" w:hAnsi="Arial" w:cs="Arial"/>
          <w:sz w:val="24"/>
          <w:szCs w:val="24"/>
        </w:rPr>
      </w:pPr>
      <w:r w:rsidRPr="00180258">
        <w:rPr>
          <w:rFonts w:ascii="Arial" w:hAnsi="Arial" w:cs="Arial"/>
          <w:sz w:val="24"/>
          <w:szCs w:val="24"/>
        </w:rPr>
        <w:t xml:space="preserve">La literatura mundial consultada apoya la presencia de U. </w:t>
      </w:r>
      <w:r w:rsidR="00E674EA" w:rsidRPr="00E021F4">
        <w:rPr>
          <w:rFonts w:ascii="Arial" w:hAnsi="Arial" w:cs="Arial"/>
          <w:i/>
          <w:sz w:val="24"/>
          <w:szCs w:val="24"/>
        </w:rPr>
        <w:t>urealyticum</w:t>
      </w:r>
      <w:r w:rsidR="00374935">
        <w:rPr>
          <w:rFonts w:ascii="Arial" w:hAnsi="Arial" w:cs="Arial"/>
          <w:i/>
          <w:sz w:val="24"/>
          <w:szCs w:val="24"/>
        </w:rPr>
        <w:t xml:space="preserve"> </w:t>
      </w:r>
      <w:r w:rsidRPr="00180258">
        <w:rPr>
          <w:rFonts w:ascii="Arial" w:hAnsi="Arial" w:cs="Arial"/>
          <w:sz w:val="24"/>
          <w:szCs w:val="24"/>
        </w:rPr>
        <w:t xml:space="preserve">como el </w:t>
      </w:r>
      <w:r w:rsidRPr="00E021F4">
        <w:rPr>
          <w:rFonts w:ascii="Arial" w:hAnsi="Arial" w:cs="Arial"/>
          <w:i/>
          <w:sz w:val="24"/>
          <w:szCs w:val="24"/>
        </w:rPr>
        <w:t>Mycoplasma</w:t>
      </w:r>
      <w:r w:rsidRPr="00180258">
        <w:rPr>
          <w:rFonts w:ascii="Arial" w:hAnsi="Arial" w:cs="Arial"/>
          <w:sz w:val="24"/>
          <w:szCs w:val="24"/>
        </w:rPr>
        <w:t xml:space="preserve"> urogenital más frecuentemente encontrado en el tracto genitourinario de mujeres infértiles.</w:t>
      </w:r>
      <w:r w:rsidR="0070299A">
        <w:rPr>
          <w:rFonts w:ascii="Arial" w:hAnsi="Arial" w:cs="Arial"/>
          <w:sz w:val="24"/>
          <w:szCs w:val="24"/>
          <w:vertAlign w:val="superscript"/>
        </w:rPr>
        <w:t>(</w:t>
      </w:r>
      <w:r w:rsidR="009D3FC6">
        <w:rPr>
          <w:rFonts w:ascii="Arial" w:hAnsi="Arial" w:cs="Arial"/>
          <w:sz w:val="24"/>
          <w:szCs w:val="24"/>
          <w:vertAlign w:val="superscript"/>
        </w:rPr>
        <w:t>20</w:t>
      </w:r>
      <w:r w:rsidR="0070299A">
        <w:rPr>
          <w:rFonts w:ascii="Arial" w:hAnsi="Arial" w:cs="Arial"/>
          <w:sz w:val="24"/>
          <w:szCs w:val="24"/>
          <w:vertAlign w:val="superscript"/>
        </w:rPr>
        <w:t>)</w:t>
      </w:r>
    </w:p>
    <w:p w:rsidR="00D27139" w:rsidRPr="00180258" w:rsidRDefault="00D27139" w:rsidP="00797188">
      <w:pPr>
        <w:jc w:val="both"/>
        <w:rPr>
          <w:rFonts w:ascii="Arial" w:hAnsi="Arial" w:cs="Arial"/>
          <w:sz w:val="24"/>
          <w:szCs w:val="24"/>
        </w:rPr>
      </w:pPr>
      <w:r w:rsidRPr="00180258">
        <w:rPr>
          <w:rFonts w:ascii="Arial" w:hAnsi="Arial" w:cs="Arial"/>
          <w:sz w:val="24"/>
          <w:szCs w:val="24"/>
        </w:rPr>
        <w:lastRenderedPageBreak/>
        <w:t>Mientras más temprano se detecte la infertilidad mejor será su pronóstico, ya que este guarda relación con los años de la paciente y se conoce que la fertilidad es inversamente proporcional a la edad. En nuestro estudio la mayoría de las pacientes tenían menos de 6 años de infertilidad y lograron gestación en los primeros dos años de evolución en consulta, resultados que coinciden con lo expresado por Rojas Montoya NR.</w:t>
      </w:r>
      <w:r w:rsidR="0070299A">
        <w:rPr>
          <w:rFonts w:ascii="Arial" w:hAnsi="Arial" w:cs="Arial"/>
          <w:sz w:val="24"/>
          <w:szCs w:val="24"/>
          <w:vertAlign w:val="superscript"/>
        </w:rPr>
        <w:t>(</w:t>
      </w:r>
      <w:r w:rsidR="009D3FC6">
        <w:rPr>
          <w:rFonts w:ascii="Arial" w:hAnsi="Arial" w:cs="Arial"/>
          <w:sz w:val="24"/>
          <w:szCs w:val="24"/>
          <w:vertAlign w:val="superscript"/>
        </w:rPr>
        <w:t>12</w:t>
      </w:r>
      <w:r w:rsidR="0070299A">
        <w:rPr>
          <w:rFonts w:ascii="Arial" w:hAnsi="Arial" w:cs="Arial"/>
          <w:sz w:val="24"/>
          <w:szCs w:val="24"/>
          <w:vertAlign w:val="superscript"/>
        </w:rPr>
        <w:t>)</w:t>
      </w:r>
      <w:r w:rsidRPr="00180258">
        <w:rPr>
          <w:rFonts w:ascii="Arial" w:hAnsi="Arial" w:cs="Arial"/>
          <w:sz w:val="24"/>
          <w:szCs w:val="24"/>
        </w:rPr>
        <w:t xml:space="preserve"> quien logró un 35,9% de embarazos en el primer año de tratamiento</w:t>
      </w:r>
      <w:r w:rsidR="00564BC8" w:rsidRPr="00180258">
        <w:rPr>
          <w:rFonts w:ascii="Arial" w:hAnsi="Arial" w:cs="Arial"/>
          <w:sz w:val="24"/>
          <w:szCs w:val="24"/>
        </w:rPr>
        <w:t>.</w:t>
      </w:r>
    </w:p>
    <w:p w:rsidR="00D7154D" w:rsidRPr="00180258" w:rsidRDefault="00D27139" w:rsidP="00797188">
      <w:pPr>
        <w:jc w:val="both"/>
        <w:rPr>
          <w:rFonts w:ascii="Arial" w:hAnsi="Arial" w:cs="Arial"/>
          <w:sz w:val="24"/>
          <w:szCs w:val="24"/>
        </w:rPr>
      </w:pPr>
      <w:r w:rsidRPr="00180258">
        <w:rPr>
          <w:rFonts w:ascii="Arial" w:hAnsi="Arial" w:cs="Arial"/>
          <w:sz w:val="24"/>
          <w:szCs w:val="24"/>
        </w:rPr>
        <w:t xml:space="preserve">Por otra </w:t>
      </w:r>
      <w:r w:rsidR="009E744E">
        <w:rPr>
          <w:rFonts w:ascii="Arial" w:hAnsi="Arial" w:cs="Arial"/>
          <w:sz w:val="24"/>
          <w:szCs w:val="24"/>
        </w:rPr>
        <w:t xml:space="preserve">parte, </w:t>
      </w:r>
      <w:r w:rsidR="002A0622" w:rsidRPr="00180258">
        <w:rPr>
          <w:rFonts w:ascii="Arial" w:hAnsi="Arial" w:cs="Arial"/>
          <w:sz w:val="24"/>
          <w:szCs w:val="24"/>
        </w:rPr>
        <w:t>Ramírez A</w:t>
      </w:r>
      <w:r w:rsidR="006F5E29" w:rsidRPr="00180258">
        <w:rPr>
          <w:rFonts w:ascii="Arial" w:hAnsi="Arial" w:cs="Arial"/>
          <w:sz w:val="24"/>
          <w:szCs w:val="24"/>
        </w:rPr>
        <w:t>.</w:t>
      </w:r>
      <w:r w:rsidR="0070299A">
        <w:rPr>
          <w:rFonts w:ascii="Arial" w:hAnsi="Arial" w:cs="Arial"/>
          <w:sz w:val="24"/>
          <w:szCs w:val="24"/>
          <w:vertAlign w:val="superscript"/>
        </w:rPr>
        <w:t>(</w:t>
      </w:r>
      <w:r w:rsidR="009D3FC6">
        <w:rPr>
          <w:rFonts w:ascii="Arial" w:hAnsi="Arial" w:cs="Arial"/>
          <w:sz w:val="24"/>
          <w:szCs w:val="24"/>
          <w:vertAlign w:val="superscript"/>
        </w:rPr>
        <w:t>21</w:t>
      </w:r>
      <w:r w:rsidR="0070299A">
        <w:rPr>
          <w:rFonts w:ascii="Arial" w:hAnsi="Arial" w:cs="Arial"/>
          <w:sz w:val="24"/>
          <w:szCs w:val="24"/>
          <w:vertAlign w:val="superscript"/>
        </w:rPr>
        <w:t>)</w:t>
      </w:r>
      <w:r w:rsidRPr="00180258">
        <w:rPr>
          <w:rFonts w:ascii="Arial" w:hAnsi="Arial" w:cs="Arial"/>
          <w:sz w:val="24"/>
          <w:szCs w:val="24"/>
        </w:rPr>
        <w:t xml:space="preserve"> también tiene una mayor incidencia de embarazos en féminas con menos de dos años de infertilidad (34</w:t>
      </w:r>
      <w:r w:rsidR="001639DB">
        <w:rPr>
          <w:rFonts w:ascii="Arial" w:hAnsi="Arial" w:cs="Arial"/>
          <w:sz w:val="24"/>
          <w:szCs w:val="24"/>
        </w:rPr>
        <w:t>%), coincidiendo nuestros resultados con los antes referidos</w:t>
      </w:r>
      <w:r w:rsidRPr="00180258">
        <w:rPr>
          <w:rFonts w:ascii="Arial" w:hAnsi="Arial" w:cs="Arial"/>
          <w:sz w:val="24"/>
          <w:szCs w:val="24"/>
        </w:rPr>
        <w:t>.</w:t>
      </w:r>
    </w:p>
    <w:p w:rsidR="00C90B01" w:rsidRPr="006E149E" w:rsidRDefault="00725CA8" w:rsidP="00797188">
      <w:pPr>
        <w:jc w:val="both"/>
        <w:rPr>
          <w:rFonts w:ascii="Arial" w:hAnsi="Arial" w:cs="Arial"/>
          <w:sz w:val="24"/>
          <w:szCs w:val="24"/>
        </w:rPr>
      </w:pPr>
      <w:r w:rsidRPr="00180258">
        <w:rPr>
          <w:rFonts w:ascii="Arial" w:hAnsi="Arial" w:cs="Arial"/>
          <w:sz w:val="24"/>
          <w:szCs w:val="24"/>
        </w:rPr>
        <w:t>Se concluye que de las parejas atendidas predominaron las edades entre 25 a 29 años, la infertilidad secundaria, el factor cervical como etiológico y en este, la infección. El seguimiento folicular, la histerosalpingografía, el ultrasonido, los estudios microbiológicos y el espermiograma fueron las técnicas más utilizadas para el estudio de la infertilidad. Un tercio de las mujeres recibieron tratamiento por infección vaginal, el factor masculino se trató casi en la misma proporción.</w:t>
      </w:r>
      <w:r w:rsidR="00EC63AD">
        <w:rPr>
          <w:rFonts w:ascii="Arial" w:hAnsi="Arial" w:cs="Arial"/>
          <w:sz w:val="24"/>
          <w:szCs w:val="24"/>
        </w:rPr>
        <w:t xml:space="preserve"> </w:t>
      </w:r>
      <w:r w:rsidRPr="00180258">
        <w:rPr>
          <w:rFonts w:ascii="Arial" w:hAnsi="Arial" w:cs="Arial"/>
          <w:sz w:val="24"/>
          <w:szCs w:val="24"/>
        </w:rPr>
        <w:t>La mayoría d</w:t>
      </w:r>
      <w:r w:rsidR="00334D2E" w:rsidRPr="00180258">
        <w:rPr>
          <w:rFonts w:ascii="Arial" w:hAnsi="Arial" w:cs="Arial"/>
          <w:sz w:val="24"/>
          <w:szCs w:val="24"/>
        </w:rPr>
        <w:t xml:space="preserve">e las parejas lograron embarazo </w:t>
      </w:r>
      <w:r w:rsidRPr="00180258">
        <w:rPr>
          <w:rFonts w:ascii="Arial" w:hAnsi="Arial" w:cs="Arial"/>
          <w:sz w:val="24"/>
          <w:szCs w:val="24"/>
        </w:rPr>
        <w:t>los 2 primeros años de atención en el servicio, de ellas, más de la mitad con antecedentes de</w:t>
      </w:r>
      <w:r w:rsidR="00334D2E" w:rsidRPr="00180258">
        <w:rPr>
          <w:rFonts w:ascii="Arial" w:hAnsi="Arial" w:cs="Arial"/>
          <w:sz w:val="24"/>
          <w:szCs w:val="24"/>
        </w:rPr>
        <w:t xml:space="preserve"> 5 años o menos de infertilidad.</w:t>
      </w:r>
    </w:p>
    <w:p w:rsidR="00D21F7D" w:rsidRDefault="00D21F7D" w:rsidP="00797188">
      <w:pPr>
        <w:jc w:val="both"/>
        <w:rPr>
          <w:rFonts w:ascii="Arial" w:hAnsi="Arial" w:cs="Arial"/>
          <w:b/>
          <w:sz w:val="24"/>
          <w:szCs w:val="24"/>
        </w:rPr>
      </w:pPr>
    </w:p>
    <w:p w:rsidR="00106301" w:rsidRPr="00180258" w:rsidRDefault="00D21F7D" w:rsidP="00797188">
      <w:pPr>
        <w:jc w:val="both"/>
        <w:rPr>
          <w:rFonts w:ascii="Arial" w:hAnsi="Arial" w:cs="Arial"/>
          <w:b/>
          <w:sz w:val="24"/>
          <w:szCs w:val="24"/>
        </w:rPr>
      </w:pPr>
      <w:r>
        <w:rPr>
          <w:rFonts w:ascii="Arial" w:hAnsi="Arial" w:cs="Arial"/>
          <w:b/>
          <w:sz w:val="24"/>
          <w:szCs w:val="24"/>
        </w:rPr>
        <w:t>REFERENCIAS BIBLIOGRÁFICAS</w:t>
      </w:r>
    </w:p>
    <w:p w:rsidR="00751ECE" w:rsidRPr="00180258"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1.</w:t>
      </w:r>
      <w:r w:rsidR="00B73404">
        <w:rPr>
          <w:rFonts w:ascii="Arial" w:hAnsi="Arial" w:cs="Arial"/>
          <w:sz w:val="24"/>
          <w:szCs w:val="24"/>
          <w:lang w:val="es-ES"/>
        </w:rPr>
        <w:t xml:space="preserve"> </w:t>
      </w:r>
      <w:r w:rsidR="00EB279A" w:rsidRPr="00180258">
        <w:rPr>
          <w:rFonts w:ascii="Arial" w:hAnsi="Arial" w:cs="Arial"/>
          <w:sz w:val="24"/>
          <w:szCs w:val="24"/>
          <w:lang w:val="es-ES"/>
        </w:rPr>
        <w:t>Noa Domínguez E R. Impacto del programa de atención a la pareja infértil en la provincia de Mayabeque. Medi</w:t>
      </w:r>
      <w:r w:rsidR="00B73404">
        <w:rPr>
          <w:rFonts w:ascii="Arial" w:hAnsi="Arial" w:cs="Arial"/>
          <w:sz w:val="24"/>
          <w:szCs w:val="24"/>
          <w:lang w:val="es-ES"/>
        </w:rPr>
        <w:t xml:space="preserve"> </w:t>
      </w:r>
      <w:r w:rsidR="00EB279A" w:rsidRPr="00180258">
        <w:rPr>
          <w:rFonts w:ascii="Arial" w:hAnsi="Arial" w:cs="Arial"/>
          <w:sz w:val="24"/>
          <w:szCs w:val="24"/>
          <w:lang w:val="es-ES"/>
        </w:rPr>
        <w:t>May</w:t>
      </w:r>
      <w:r w:rsidR="00B73404">
        <w:rPr>
          <w:rFonts w:ascii="Arial" w:hAnsi="Arial" w:cs="Arial"/>
          <w:sz w:val="24"/>
          <w:szCs w:val="24"/>
          <w:lang w:val="es-ES"/>
        </w:rPr>
        <w:t xml:space="preserve"> </w:t>
      </w:r>
      <w:r w:rsidR="00EB279A" w:rsidRPr="00180258">
        <w:rPr>
          <w:rFonts w:ascii="Arial" w:hAnsi="Arial" w:cs="Arial"/>
          <w:sz w:val="24"/>
          <w:szCs w:val="24"/>
          <w:lang w:val="es-ES"/>
        </w:rPr>
        <w:t>[Internet]. 2018 [</w:t>
      </w:r>
      <w:r w:rsidR="002C5747" w:rsidRPr="00180258">
        <w:rPr>
          <w:rFonts w:ascii="Arial" w:hAnsi="Arial" w:cs="Arial"/>
          <w:sz w:val="24"/>
          <w:szCs w:val="24"/>
          <w:lang w:val="es-ES"/>
        </w:rPr>
        <w:t xml:space="preserve">citado 14 de mayo de 2021]; 25(2): [aprox. 5p.]. Disponible en: </w:t>
      </w:r>
      <w:r w:rsidR="002C5747" w:rsidRPr="00751ECE">
        <w:rPr>
          <w:rFonts w:ascii="Arial" w:hAnsi="Arial" w:cs="Arial"/>
          <w:color w:val="0070C0"/>
          <w:sz w:val="24"/>
          <w:szCs w:val="24"/>
          <w:u w:val="single"/>
          <w:lang w:val="es-ES"/>
        </w:rPr>
        <w:t>http://revcmhabana.sld.cu/index.php/rcmh/article/view/1225/1554</w:t>
      </w:r>
    </w:p>
    <w:p w:rsidR="006C409E" w:rsidRPr="00D21F7D" w:rsidRDefault="00106301" w:rsidP="00D21F7D">
      <w:pPr>
        <w:spacing w:line="360" w:lineRule="auto"/>
        <w:jc w:val="both"/>
        <w:rPr>
          <w:rFonts w:ascii="Arial" w:eastAsiaTheme="minorHAnsi" w:hAnsi="Arial" w:cs="Arial"/>
          <w:sz w:val="24"/>
          <w:szCs w:val="24"/>
          <w:lang w:val="es-ES"/>
        </w:rPr>
      </w:pPr>
      <w:r w:rsidRPr="00D21F7D">
        <w:rPr>
          <w:rFonts w:ascii="Arial" w:hAnsi="Arial" w:cs="Arial"/>
          <w:sz w:val="24"/>
          <w:szCs w:val="24"/>
          <w:lang w:val="es-ES"/>
        </w:rPr>
        <w:t>2</w:t>
      </w:r>
      <w:r w:rsidR="002C5747" w:rsidRPr="00D21F7D">
        <w:rPr>
          <w:rFonts w:ascii="Arial" w:hAnsi="Arial" w:cs="Arial"/>
          <w:sz w:val="24"/>
          <w:szCs w:val="24"/>
          <w:lang w:val="es-ES"/>
        </w:rPr>
        <w:t>.</w:t>
      </w:r>
      <w:r w:rsidR="00270892" w:rsidRPr="00D21F7D">
        <w:rPr>
          <w:rFonts w:ascii="Arial" w:hAnsi="Arial" w:cs="Arial"/>
          <w:sz w:val="24"/>
          <w:szCs w:val="24"/>
          <w:lang w:val="es-ES"/>
        </w:rPr>
        <w:t xml:space="preserve"> </w:t>
      </w:r>
      <w:r w:rsidR="00D21F7D" w:rsidRPr="00D21F7D">
        <w:rPr>
          <w:rFonts w:ascii="Arial" w:hAnsi="Arial" w:cs="Arial"/>
          <w:sz w:val="24"/>
          <w:szCs w:val="24"/>
          <w:lang w:val="es-ES"/>
        </w:rPr>
        <w:t xml:space="preserve">Rodríguez-Puga R, Pérez-Díaz Y, Vázquez-Rodríguez N, González-Ronquillo Y. Variables socio-epidemiológicas de la infertilidad femenina en la provincia Camagüey. </w:t>
      </w:r>
      <w:r w:rsidR="00D21F7D" w:rsidRPr="00D21F7D">
        <w:rPr>
          <w:rStyle w:val="Textoennegrita"/>
          <w:rFonts w:ascii="Arial" w:hAnsi="Arial" w:cs="Arial"/>
          <w:b w:val="0"/>
          <w:sz w:val="24"/>
          <w:szCs w:val="24"/>
          <w:lang w:val="es-ES"/>
        </w:rPr>
        <w:t>Revista Finlay</w:t>
      </w:r>
      <w:r w:rsidR="00D21F7D" w:rsidRPr="00D21F7D">
        <w:rPr>
          <w:rFonts w:ascii="Arial" w:hAnsi="Arial" w:cs="Arial"/>
          <w:sz w:val="24"/>
          <w:szCs w:val="24"/>
          <w:lang w:val="es-ES"/>
        </w:rPr>
        <w:t xml:space="preserve"> [Internet]. 2023 [</w:t>
      </w:r>
      <w:r w:rsidR="007D78B6">
        <w:rPr>
          <w:rFonts w:ascii="Arial" w:hAnsi="Arial" w:cs="Arial"/>
          <w:sz w:val="24"/>
          <w:szCs w:val="24"/>
          <w:lang w:val="es-ES"/>
        </w:rPr>
        <w:t xml:space="preserve">citado 26 de agosto de </w:t>
      </w:r>
      <w:r w:rsidR="00D21F7D" w:rsidRPr="00D21F7D">
        <w:rPr>
          <w:rFonts w:ascii="Arial" w:hAnsi="Arial" w:cs="Arial"/>
          <w:sz w:val="24"/>
          <w:szCs w:val="24"/>
          <w:lang w:val="es-ES"/>
        </w:rPr>
        <w:t xml:space="preserve">/2024];13(2):e1224. Disponible en: </w:t>
      </w:r>
      <w:r w:rsidR="00D21F7D" w:rsidRPr="00751ECE">
        <w:rPr>
          <w:rFonts w:ascii="Arial" w:hAnsi="Arial" w:cs="Arial"/>
          <w:color w:val="0070C0"/>
          <w:sz w:val="24"/>
          <w:szCs w:val="24"/>
          <w:u w:val="single"/>
          <w:lang w:val="es-ES"/>
        </w:rPr>
        <w:t>https://revfinlay.sld.cu/index.php/finlay/article/view/1224</w:t>
      </w:r>
    </w:p>
    <w:p w:rsidR="00106301" w:rsidRPr="00180258"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3.</w:t>
      </w:r>
      <w:r w:rsidR="00DF2F1B">
        <w:rPr>
          <w:rFonts w:ascii="Arial" w:hAnsi="Arial" w:cs="Arial"/>
          <w:sz w:val="24"/>
          <w:szCs w:val="24"/>
          <w:lang w:val="es-ES"/>
        </w:rPr>
        <w:t xml:space="preserve">  </w:t>
      </w:r>
      <w:r w:rsidR="002C5747" w:rsidRPr="00180258">
        <w:rPr>
          <w:rFonts w:ascii="Arial" w:hAnsi="Arial" w:cs="Arial"/>
          <w:sz w:val="24"/>
          <w:szCs w:val="24"/>
          <w:lang w:val="es-ES"/>
        </w:rPr>
        <w:t>Ascenzo Palacio A. Biología en reproducción asistida: Introducción.</w:t>
      </w:r>
      <w:r w:rsidR="00DF2F1B">
        <w:rPr>
          <w:rFonts w:ascii="Arial" w:hAnsi="Arial" w:cs="Arial"/>
          <w:sz w:val="24"/>
          <w:szCs w:val="24"/>
          <w:lang w:val="es-ES"/>
        </w:rPr>
        <w:t xml:space="preserve"> </w:t>
      </w:r>
      <w:r w:rsidR="00430E55" w:rsidRPr="00180258">
        <w:rPr>
          <w:rFonts w:ascii="Arial" w:hAnsi="Arial" w:cs="Arial"/>
          <w:sz w:val="24"/>
          <w:szCs w:val="24"/>
          <w:lang w:val="es-ES"/>
        </w:rPr>
        <w:t>Rev</w:t>
      </w:r>
      <w:r w:rsidR="00DF2F1B">
        <w:rPr>
          <w:rFonts w:ascii="Arial" w:hAnsi="Arial" w:cs="Arial"/>
          <w:sz w:val="24"/>
          <w:szCs w:val="24"/>
          <w:lang w:val="es-ES"/>
        </w:rPr>
        <w:t xml:space="preserve"> </w:t>
      </w:r>
      <w:r w:rsidR="00430E55" w:rsidRPr="00180258">
        <w:rPr>
          <w:rFonts w:ascii="Arial" w:hAnsi="Arial" w:cs="Arial"/>
          <w:sz w:val="24"/>
          <w:szCs w:val="24"/>
          <w:lang w:val="es-ES"/>
        </w:rPr>
        <w:t>Peru</w:t>
      </w:r>
      <w:r w:rsidR="00DF2F1B">
        <w:rPr>
          <w:rFonts w:ascii="Arial" w:hAnsi="Arial" w:cs="Arial"/>
          <w:sz w:val="24"/>
          <w:szCs w:val="24"/>
          <w:lang w:val="es-ES"/>
        </w:rPr>
        <w:t xml:space="preserve"> </w:t>
      </w:r>
      <w:r w:rsidR="00430E55" w:rsidRPr="00180258">
        <w:rPr>
          <w:rFonts w:ascii="Arial" w:hAnsi="Arial" w:cs="Arial"/>
          <w:sz w:val="24"/>
          <w:szCs w:val="24"/>
          <w:lang w:val="es-ES"/>
        </w:rPr>
        <w:t>Ginecol</w:t>
      </w:r>
      <w:r w:rsidR="00DF2F1B">
        <w:rPr>
          <w:rFonts w:ascii="Arial" w:hAnsi="Arial" w:cs="Arial"/>
          <w:sz w:val="24"/>
          <w:szCs w:val="24"/>
          <w:lang w:val="es-ES"/>
        </w:rPr>
        <w:t xml:space="preserve"> </w:t>
      </w:r>
      <w:r w:rsidR="00430E55" w:rsidRPr="00180258">
        <w:rPr>
          <w:rFonts w:ascii="Arial" w:hAnsi="Arial" w:cs="Arial"/>
          <w:sz w:val="24"/>
          <w:szCs w:val="24"/>
          <w:lang w:val="es-ES"/>
        </w:rPr>
        <w:t xml:space="preserve">Obstet [Internet]. 2018 [citado 23 de mayo de 2021]; 64(2): 211-212. </w:t>
      </w:r>
      <w:r w:rsidR="00430E55" w:rsidRPr="00180258">
        <w:rPr>
          <w:rFonts w:ascii="Arial" w:hAnsi="Arial" w:cs="Arial"/>
          <w:sz w:val="24"/>
          <w:szCs w:val="24"/>
          <w:lang w:val="es-ES"/>
        </w:rPr>
        <w:lastRenderedPageBreak/>
        <w:t xml:space="preserve">Disponible en: </w:t>
      </w:r>
      <w:r w:rsidR="00430E55" w:rsidRPr="00751ECE">
        <w:rPr>
          <w:rFonts w:ascii="Arial" w:hAnsi="Arial" w:cs="Arial"/>
          <w:color w:val="0070C0"/>
          <w:sz w:val="24"/>
          <w:szCs w:val="24"/>
          <w:u w:val="single"/>
          <w:lang w:val="es-ES"/>
        </w:rPr>
        <w:t>http://www.scielo.org.pe/scielo.php?script=sci_arttext&amp;pid=S2304-51322018000200009&amp;Ing=es</w:t>
      </w:r>
    </w:p>
    <w:p w:rsidR="00106301" w:rsidRPr="00180258"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4.</w:t>
      </w:r>
      <w:r w:rsidR="00004760">
        <w:rPr>
          <w:rFonts w:ascii="Arial" w:hAnsi="Arial" w:cs="Arial"/>
          <w:sz w:val="24"/>
          <w:szCs w:val="24"/>
          <w:lang w:val="es-ES"/>
        </w:rPr>
        <w:t xml:space="preserve"> </w:t>
      </w:r>
      <w:r w:rsidR="00430E55" w:rsidRPr="00180258">
        <w:rPr>
          <w:rFonts w:ascii="Arial" w:hAnsi="Arial" w:cs="Arial"/>
          <w:sz w:val="24"/>
          <w:szCs w:val="24"/>
          <w:lang w:val="es-ES"/>
        </w:rPr>
        <w:t xml:space="preserve">Mora García G, Baquero Suárez J, González García M, Vaillant Rodríguez M. Características de parejas infértiles en Santiago de Cuba. MEDISAN [Internet]. 2019 [citado 31 de mayo de 2021]; 23(6): [aprox. 11p.]. Disponible en: </w:t>
      </w:r>
      <w:r w:rsidR="00430E55" w:rsidRPr="00751ECE">
        <w:rPr>
          <w:rFonts w:ascii="Arial" w:hAnsi="Arial" w:cs="Arial"/>
          <w:color w:val="0070C0"/>
          <w:sz w:val="24"/>
          <w:szCs w:val="24"/>
          <w:u w:val="single"/>
          <w:lang w:val="es-ES"/>
        </w:rPr>
        <w:t>http://www.medisan.sld.cu/index.php/san/article/view/2916</w:t>
      </w:r>
    </w:p>
    <w:p w:rsidR="00106301"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5.</w:t>
      </w:r>
      <w:r w:rsidR="00004760">
        <w:rPr>
          <w:rFonts w:ascii="Arial" w:hAnsi="Arial" w:cs="Arial"/>
          <w:sz w:val="24"/>
          <w:szCs w:val="24"/>
          <w:lang w:val="es-ES"/>
        </w:rPr>
        <w:t xml:space="preserve"> </w:t>
      </w:r>
      <w:r w:rsidR="00430E55" w:rsidRPr="00180258">
        <w:rPr>
          <w:rFonts w:ascii="Arial" w:hAnsi="Arial" w:cs="Arial"/>
          <w:sz w:val="24"/>
          <w:szCs w:val="24"/>
          <w:lang w:val="es-ES"/>
        </w:rPr>
        <w:t>Pereira Calvo J, Pereira Rodríguez Y, Quirós Figueroa L. Infertilidad y factores que favorecen su aparición.</w:t>
      </w:r>
      <w:r w:rsidR="00A96439">
        <w:rPr>
          <w:rFonts w:ascii="Arial" w:hAnsi="Arial" w:cs="Arial"/>
          <w:sz w:val="24"/>
          <w:szCs w:val="24"/>
          <w:lang w:val="es-ES"/>
        </w:rPr>
        <w:t xml:space="preserve"> </w:t>
      </w:r>
      <w:r w:rsidR="00DB72DE" w:rsidRPr="00180258">
        <w:rPr>
          <w:rFonts w:ascii="Arial" w:hAnsi="Arial" w:cs="Arial"/>
          <w:sz w:val="24"/>
          <w:szCs w:val="24"/>
          <w:lang w:val="es-ES"/>
        </w:rPr>
        <w:t>Rev</w:t>
      </w:r>
      <w:r w:rsidR="007D61AA">
        <w:rPr>
          <w:rFonts w:ascii="Arial" w:hAnsi="Arial" w:cs="Arial"/>
          <w:sz w:val="24"/>
          <w:szCs w:val="24"/>
          <w:lang w:val="es-ES"/>
        </w:rPr>
        <w:t xml:space="preserve"> </w:t>
      </w:r>
      <w:r w:rsidR="00DB72DE" w:rsidRPr="00180258">
        <w:rPr>
          <w:rFonts w:ascii="Arial" w:hAnsi="Arial" w:cs="Arial"/>
          <w:sz w:val="24"/>
          <w:szCs w:val="24"/>
          <w:lang w:val="es-ES"/>
        </w:rPr>
        <w:t>Med Sinergia [Internet]. 2020 [citada</w:t>
      </w:r>
      <w:r w:rsidRPr="00180258">
        <w:rPr>
          <w:rFonts w:ascii="Arial" w:hAnsi="Arial" w:cs="Arial"/>
          <w:sz w:val="24"/>
          <w:szCs w:val="24"/>
          <w:lang w:val="es-ES"/>
        </w:rPr>
        <w:t xml:space="preserve"> 20</w:t>
      </w:r>
      <w:r w:rsidR="00DB72DE" w:rsidRPr="00180258">
        <w:rPr>
          <w:rFonts w:ascii="Arial" w:hAnsi="Arial" w:cs="Arial"/>
          <w:sz w:val="24"/>
          <w:szCs w:val="24"/>
          <w:lang w:val="es-ES"/>
        </w:rPr>
        <w:t xml:space="preserve"> de mayo de 2021]; 5(5): e485.</w:t>
      </w:r>
      <w:r w:rsidRPr="00180258">
        <w:rPr>
          <w:rFonts w:ascii="Arial" w:hAnsi="Arial" w:cs="Arial"/>
          <w:sz w:val="24"/>
          <w:szCs w:val="24"/>
          <w:lang w:val="es-ES"/>
        </w:rPr>
        <w:t xml:space="preserve"> Disponible en: </w:t>
      </w:r>
      <w:r w:rsidRPr="00751ECE">
        <w:rPr>
          <w:rFonts w:ascii="Arial" w:hAnsi="Arial" w:cs="Arial"/>
          <w:color w:val="0070C0"/>
          <w:sz w:val="24"/>
          <w:szCs w:val="24"/>
          <w:u w:val="single"/>
          <w:lang w:val="es-ES"/>
        </w:rPr>
        <w:t>http://</w:t>
      </w:r>
      <w:r w:rsidR="00DB72DE" w:rsidRPr="00751ECE">
        <w:rPr>
          <w:rFonts w:ascii="Arial" w:hAnsi="Arial" w:cs="Arial"/>
          <w:color w:val="0070C0"/>
          <w:sz w:val="24"/>
          <w:szCs w:val="24"/>
          <w:u w:val="single"/>
          <w:lang w:val="es-ES"/>
        </w:rPr>
        <w:t>revistamedicasinergia.com/index.php/rms/article/view/485/845</w:t>
      </w:r>
    </w:p>
    <w:p w:rsidR="007D61AA" w:rsidRPr="00180258" w:rsidRDefault="007D61AA" w:rsidP="00797188">
      <w:pPr>
        <w:spacing w:after="200" w:line="360" w:lineRule="auto"/>
        <w:jc w:val="both"/>
        <w:rPr>
          <w:rFonts w:ascii="Arial" w:hAnsi="Arial" w:cs="Arial"/>
          <w:sz w:val="24"/>
          <w:szCs w:val="24"/>
          <w:lang w:val="es-ES"/>
        </w:rPr>
      </w:pPr>
      <w:r>
        <w:rPr>
          <w:rFonts w:ascii="Arial" w:hAnsi="Arial" w:cs="Arial"/>
          <w:sz w:val="24"/>
          <w:szCs w:val="24"/>
          <w:lang w:val="es-ES"/>
        </w:rPr>
        <w:t xml:space="preserve">6. </w:t>
      </w:r>
      <w:r w:rsidR="00734A58">
        <w:rPr>
          <w:rFonts w:ascii="Arial" w:hAnsi="Arial" w:cs="Arial"/>
          <w:sz w:val="24"/>
          <w:szCs w:val="24"/>
          <w:lang w:val="es-ES"/>
        </w:rPr>
        <w:t xml:space="preserve">Álvarez Morales N. Repercusión emocional de la COVID-19 en parejas infértiles. Medimay </w:t>
      </w:r>
      <w:r w:rsidR="00734A58" w:rsidRPr="00180258">
        <w:rPr>
          <w:rFonts w:ascii="Arial" w:hAnsi="Arial" w:cs="Arial"/>
          <w:sz w:val="24"/>
          <w:szCs w:val="24"/>
          <w:lang w:val="es-ES"/>
        </w:rPr>
        <w:t>[Internet].</w:t>
      </w:r>
      <w:r w:rsidR="00734A58">
        <w:rPr>
          <w:rFonts w:ascii="Arial" w:hAnsi="Arial" w:cs="Arial"/>
          <w:sz w:val="24"/>
          <w:szCs w:val="24"/>
          <w:lang w:val="es-ES"/>
        </w:rPr>
        <w:t xml:space="preserve"> 2022 [citado 28 de mayo de 2022</w:t>
      </w:r>
      <w:r w:rsidR="00734A58" w:rsidRPr="00180258">
        <w:rPr>
          <w:rFonts w:ascii="Arial" w:hAnsi="Arial" w:cs="Arial"/>
          <w:sz w:val="24"/>
          <w:szCs w:val="24"/>
          <w:lang w:val="es-ES"/>
        </w:rPr>
        <w:t>]</w:t>
      </w:r>
      <w:r w:rsidR="00734A58">
        <w:rPr>
          <w:rFonts w:ascii="Arial" w:hAnsi="Arial" w:cs="Arial"/>
          <w:sz w:val="24"/>
          <w:szCs w:val="24"/>
          <w:lang w:val="es-ES"/>
        </w:rPr>
        <w:t>; 29 (2): [aprox.5.</w:t>
      </w:r>
      <w:r w:rsidR="00734A58" w:rsidRPr="00180258">
        <w:rPr>
          <w:rFonts w:ascii="Arial" w:hAnsi="Arial" w:cs="Arial"/>
          <w:sz w:val="24"/>
          <w:szCs w:val="24"/>
          <w:lang w:val="es-ES"/>
        </w:rPr>
        <w:t>].</w:t>
      </w:r>
      <w:r w:rsidR="00734A58">
        <w:rPr>
          <w:rFonts w:ascii="Arial" w:hAnsi="Arial" w:cs="Arial"/>
          <w:sz w:val="24"/>
          <w:szCs w:val="24"/>
          <w:lang w:val="es-ES"/>
        </w:rPr>
        <w:t xml:space="preserve"> Disponible en: </w:t>
      </w:r>
      <w:r w:rsidR="00734A58" w:rsidRPr="00751ECE">
        <w:rPr>
          <w:rFonts w:ascii="Arial" w:hAnsi="Arial" w:cs="Arial"/>
          <w:color w:val="0070C0"/>
          <w:sz w:val="24"/>
          <w:szCs w:val="24"/>
          <w:u w:val="single"/>
          <w:lang w:val="es-ES"/>
        </w:rPr>
        <w:t>http://revcmhabana.sld.cu/index.php/rcmh/article/view/2241</w:t>
      </w:r>
    </w:p>
    <w:p w:rsidR="00106301" w:rsidRPr="00180258" w:rsidRDefault="00C86F3B" w:rsidP="00797188">
      <w:pPr>
        <w:spacing w:after="200" w:line="360" w:lineRule="auto"/>
        <w:jc w:val="both"/>
        <w:rPr>
          <w:rFonts w:ascii="Arial" w:hAnsi="Arial" w:cs="Arial"/>
          <w:sz w:val="24"/>
          <w:szCs w:val="24"/>
          <w:lang w:val="es-ES"/>
        </w:rPr>
      </w:pPr>
      <w:r>
        <w:rPr>
          <w:rFonts w:ascii="Arial" w:hAnsi="Arial" w:cs="Arial"/>
          <w:sz w:val="24"/>
          <w:szCs w:val="24"/>
          <w:lang w:val="es-ES"/>
        </w:rPr>
        <w:t>7</w:t>
      </w:r>
      <w:r w:rsidR="00106301" w:rsidRPr="00180258">
        <w:rPr>
          <w:rFonts w:ascii="Arial" w:hAnsi="Arial" w:cs="Arial"/>
          <w:sz w:val="24"/>
          <w:szCs w:val="24"/>
          <w:lang w:val="es-ES"/>
        </w:rPr>
        <w:t>.</w:t>
      </w:r>
      <w:r w:rsidR="000976BE">
        <w:rPr>
          <w:rFonts w:ascii="Arial" w:hAnsi="Arial" w:cs="Arial"/>
          <w:sz w:val="24"/>
          <w:szCs w:val="24"/>
          <w:lang w:val="es-ES"/>
        </w:rPr>
        <w:t xml:space="preserve"> </w:t>
      </w:r>
      <w:r w:rsidR="00DB72DE" w:rsidRPr="00180258">
        <w:rPr>
          <w:rFonts w:ascii="Arial" w:hAnsi="Arial" w:cs="Arial"/>
          <w:sz w:val="24"/>
          <w:szCs w:val="24"/>
          <w:lang w:val="es-ES"/>
        </w:rPr>
        <w:t>Rodríguez Abalo O, Morales Tarajano L, Morales Tarajano M, Méndez Guerrero G. Impacto social de los resultados del Servicio de Reproducción Asistida de Baja Complejidad de Camagüey. Rev</w:t>
      </w:r>
      <w:r w:rsidR="000976BE">
        <w:rPr>
          <w:rFonts w:ascii="Arial" w:hAnsi="Arial" w:cs="Arial"/>
          <w:sz w:val="24"/>
          <w:szCs w:val="24"/>
          <w:lang w:val="es-ES"/>
        </w:rPr>
        <w:t xml:space="preserve"> </w:t>
      </w:r>
      <w:r w:rsidR="00DB72DE" w:rsidRPr="00180258">
        <w:rPr>
          <w:rFonts w:ascii="Arial" w:hAnsi="Arial" w:cs="Arial"/>
          <w:sz w:val="24"/>
          <w:szCs w:val="24"/>
          <w:lang w:val="es-ES"/>
        </w:rPr>
        <w:t>Hum</w:t>
      </w:r>
      <w:r w:rsidR="000976BE">
        <w:rPr>
          <w:rFonts w:ascii="Arial" w:hAnsi="Arial" w:cs="Arial"/>
          <w:sz w:val="24"/>
          <w:szCs w:val="24"/>
          <w:lang w:val="es-ES"/>
        </w:rPr>
        <w:t xml:space="preserve"> </w:t>
      </w:r>
      <w:r w:rsidR="00CD5FFF">
        <w:rPr>
          <w:rFonts w:ascii="Arial" w:hAnsi="Arial" w:cs="Arial"/>
          <w:sz w:val="24"/>
          <w:szCs w:val="24"/>
          <w:lang w:val="es-ES"/>
        </w:rPr>
        <w:t>Med [Internet]. 2019 [citado</w:t>
      </w:r>
      <w:r w:rsidR="00DB72DE" w:rsidRPr="00180258">
        <w:rPr>
          <w:rFonts w:ascii="Arial" w:hAnsi="Arial" w:cs="Arial"/>
          <w:sz w:val="24"/>
          <w:szCs w:val="24"/>
          <w:lang w:val="es-ES"/>
        </w:rPr>
        <w:t xml:space="preserve"> 23 de julio de 2021]; 19(1):</w:t>
      </w:r>
      <w:r w:rsidR="007D530F" w:rsidRPr="00180258">
        <w:rPr>
          <w:rFonts w:ascii="Arial" w:hAnsi="Arial" w:cs="Arial"/>
          <w:sz w:val="24"/>
          <w:szCs w:val="24"/>
          <w:lang w:val="es-ES"/>
        </w:rPr>
        <w:t xml:space="preserve"> 1-15. Disponible en: </w:t>
      </w:r>
      <w:r w:rsidR="007D530F" w:rsidRPr="00751ECE">
        <w:rPr>
          <w:rFonts w:ascii="Arial" w:hAnsi="Arial" w:cs="Arial"/>
          <w:color w:val="0070C0"/>
          <w:sz w:val="24"/>
          <w:szCs w:val="24"/>
          <w:u w:val="single"/>
          <w:lang w:val="es-ES"/>
        </w:rPr>
        <w:t>http://scielo.sld.cu/scielophp?script=sci_arttext&amp;pid=S1727-81202019000100001&amp;Ing=es</w:t>
      </w:r>
    </w:p>
    <w:p w:rsidR="009D3FC6"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8.</w:t>
      </w:r>
      <w:r w:rsidR="000976BE">
        <w:rPr>
          <w:rFonts w:ascii="Arial" w:hAnsi="Arial" w:cs="Arial"/>
          <w:sz w:val="24"/>
          <w:szCs w:val="24"/>
          <w:lang w:val="es-ES"/>
        </w:rPr>
        <w:t xml:space="preserve"> </w:t>
      </w:r>
      <w:r w:rsidR="00CD5FFF" w:rsidRPr="00CD5FFF">
        <w:rPr>
          <w:rFonts w:ascii="Arial" w:hAnsi="Arial" w:cs="Arial"/>
          <w:sz w:val="24"/>
          <w:szCs w:val="24"/>
        </w:rPr>
        <w:t xml:space="preserve">Rodríguez Puga R. Nuevas directrices de la Declaración de Helsinki, impacto y ética en la investigación médica actual. Rev Cubana Oftalmol [Internet]. 2025 [citado 8 de </w:t>
      </w:r>
      <w:r w:rsidR="00CD5FFF">
        <w:rPr>
          <w:rFonts w:ascii="Arial" w:hAnsi="Arial" w:cs="Arial"/>
          <w:sz w:val="24"/>
          <w:szCs w:val="24"/>
        </w:rPr>
        <w:t>enero</w:t>
      </w:r>
      <w:r w:rsidR="00CD5FFF" w:rsidRPr="00CD5FFF">
        <w:rPr>
          <w:rFonts w:ascii="Arial" w:hAnsi="Arial" w:cs="Arial"/>
          <w:sz w:val="24"/>
          <w:szCs w:val="24"/>
        </w:rPr>
        <w:t xml:space="preserve"> de 2025];38. Disponible en: </w:t>
      </w:r>
      <w:r w:rsidR="00CD5FFF" w:rsidRPr="00751ECE">
        <w:rPr>
          <w:rFonts w:ascii="Arial" w:hAnsi="Arial" w:cs="Arial"/>
          <w:color w:val="0070C0"/>
          <w:sz w:val="24"/>
          <w:szCs w:val="24"/>
          <w:u w:val="single"/>
        </w:rPr>
        <w:t>https://revoftalmologia.sld.cu/index.php/oftalmologia/article/view/2043</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 xml:space="preserve">9. </w:t>
      </w:r>
      <w:r w:rsidR="0087068B">
        <w:rPr>
          <w:rFonts w:ascii="Arial" w:hAnsi="Arial" w:cs="Arial"/>
          <w:sz w:val="24"/>
          <w:szCs w:val="24"/>
          <w:lang w:val="es-ES"/>
        </w:rPr>
        <w:t>Valle Pimienta T, Lago Díaz Y, Rosales Álvarez G, Breña Pérez Y, Ordaz Díaz S, Pérez Aguado A. Infertilidad e hipotiroidismo subclínico</w:t>
      </w:r>
      <w:r w:rsidR="00106301" w:rsidRPr="00180258">
        <w:rPr>
          <w:rFonts w:ascii="Arial" w:hAnsi="Arial" w:cs="Arial"/>
          <w:sz w:val="24"/>
          <w:szCs w:val="24"/>
          <w:lang w:val="es-ES"/>
        </w:rPr>
        <w:t>.</w:t>
      </w:r>
      <w:r w:rsidR="0087068B">
        <w:rPr>
          <w:rFonts w:ascii="Arial" w:hAnsi="Arial" w:cs="Arial"/>
          <w:sz w:val="24"/>
          <w:szCs w:val="24"/>
          <w:lang w:val="es-ES"/>
        </w:rPr>
        <w:t xml:space="preserve"> Archivo Médico Camagüey </w:t>
      </w:r>
      <w:r w:rsidR="000638FA" w:rsidRPr="00180258">
        <w:rPr>
          <w:rFonts w:ascii="Arial" w:hAnsi="Arial" w:cs="Arial"/>
          <w:sz w:val="24"/>
          <w:szCs w:val="24"/>
          <w:lang w:val="es-ES"/>
        </w:rPr>
        <w:t>[</w:t>
      </w:r>
      <w:r w:rsidR="0087068B">
        <w:rPr>
          <w:rFonts w:ascii="Arial" w:hAnsi="Arial" w:cs="Arial"/>
          <w:sz w:val="24"/>
          <w:szCs w:val="24"/>
          <w:lang w:val="es-ES"/>
        </w:rPr>
        <w:t>Internet]. 2020</w:t>
      </w:r>
      <w:r w:rsidR="00335920" w:rsidRPr="00180258">
        <w:rPr>
          <w:rFonts w:ascii="Arial" w:hAnsi="Arial" w:cs="Arial"/>
          <w:sz w:val="24"/>
          <w:szCs w:val="24"/>
          <w:lang w:val="es-ES"/>
        </w:rPr>
        <w:t xml:space="preserve"> [citado 11 de d</w:t>
      </w:r>
      <w:r w:rsidR="00106301" w:rsidRPr="00180258">
        <w:rPr>
          <w:rFonts w:ascii="Arial" w:hAnsi="Arial" w:cs="Arial"/>
          <w:sz w:val="24"/>
          <w:szCs w:val="24"/>
          <w:lang w:val="es-ES"/>
        </w:rPr>
        <w:t>ic</w:t>
      </w:r>
      <w:r w:rsidR="0087068B">
        <w:rPr>
          <w:rFonts w:ascii="Arial" w:hAnsi="Arial" w:cs="Arial"/>
          <w:sz w:val="24"/>
          <w:szCs w:val="24"/>
          <w:lang w:val="es-ES"/>
        </w:rPr>
        <w:t>iembre de 2021]; 24(4</w:t>
      </w:r>
      <w:r w:rsidR="00335920" w:rsidRPr="00180258">
        <w:rPr>
          <w:rFonts w:ascii="Arial" w:hAnsi="Arial" w:cs="Arial"/>
          <w:sz w:val="24"/>
          <w:szCs w:val="24"/>
          <w:lang w:val="es-ES"/>
        </w:rPr>
        <w:t xml:space="preserve">): </w:t>
      </w:r>
      <w:r w:rsidR="0087068B" w:rsidRPr="00180258">
        <w:rPr>
          <w:rFonts w:ascii="Arial" w:hAnsi="Arial" w:cs="Arial"/>
          <w:sz w:val="24"/>
          <w:szCs w:val="24"/>
          <w:lang w:val="es-ES"/>
        </w:rPr>
        <w:t>[</w:t>
      </w:r>
      <w:r w:rsidR="0087068B">
        <w:rPr>
          <w:rFonts w:ascii="Arial" w:hAnsi="Arial" w:cs="Arial"/>
          <w:sz w:val="24"/>
          <w:szCs w:val="24"/>
          <w:lang w:val="es-ES"/>
        </w:rPr>
        <w:t xml:space="preserve">aprox. 10 p.]. </w:t>
      </w:r>
      <w:r w:rsidR="00106301" w:rsidRPr="00180258">
        <w:rPr>
          <w:rFonts w:ascii="Arial" w:hAnsi="Arial" w:cs="Arial"/>
          <w:sz w:val="24"/>
          <w:szCs w:val="24"/>
          <w:lang w:val="es-ES"/>
        </w:rPr>
        <w:t xml:space="preserve">Disponible en: </w:t>
      </w:r>
      <w:r w:rsidR="00106301" w:rsidRPr="00751ECE">
        <w:rPr>
          <w:rFonts w:ascii="Arial" w:hAnsi="Arial" w:cs="Arial"/>
          <w:color w:val="0070C0"/>
          <w:sz w:val="24"/>
          <w:szCs w:val="24"/>
          <w:u w:val="single"/>
          <w:lang w:val="es-ES"/>
        </w:rPr>
        <w:t>http://</w:t>
      </w:r>
      <w:r w:rsidR="0087068B" w:rsidRPr="00751ECE">
        <w:rPr>
          <w:rFonts w:ascii="Arial" w:hAnsi="Arial" w:cs="Arial"/>
          <w:color w:val="0070C0"/>
          <w:sz w:val="24"/>
          <w:szCs w:val="24"/>
          <w:u w:val="single"/>
          <w:lang w:val="es-ES"/>
        </w:rPr>
        <w:t>revistaamc.sld.cu/index.php/amc/article/view/7362</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lastRenderedPageBreak/>
        <w:t>10</w:t>
      </w:r>
      <w:r w:rsidR="007372D5" w:rsidRPr="00180258">
        <w:rPr>
          <w:rFonts w:ascii="Arial" w:hAnsi="Arial" w:cs="Arial"/>
          <w:sz w:val="24"/>
          <w:szCs w:val="24"/>
          <w:lang w:val="es-ES"/>
        </w:rPr>
        <w:t>.</w:t>
      </w:r>
      <w:r w:rsidR="000976BE">
        <w:rPr>
          <w:rFonts w:ascii="Arial" w:hAnsi="Arial" w:cs="Arial"/>
          <w:sz w:val="24"/>
          <w:szCs w:val="24"/>
          <w:lang w:val="es-ES"/>
        </w:rPr>
        <w:t xml:space="preserve"> </w:t>
      </w:r>
      <w:r w:rsidR="007372D5" w:rsidRPr="00180258">
        <w:rPr>
          <w:rFonts w:ascii="Arial" w:hAnsi="Arial" w:cs="Arial"/>
          <w:sz w:val="24"/>
          <w:szCs w:val="24"/>
          <w:lang w:val="es-ES"/>
        </w:rPr>
        <w:t>González Labrador I, Miy</w:t>
      </w:r>
      <w:r w:rsidR="00106301" w:rsidRPr="00180258">
        <w:rPr>
          <w:rFonts w:ascii="Arial" w:hAnsi="Arial" w:cs="Arial"/>
          <w:sz w:val="24"/>
          <w:szCs w:val="24"/>
          <w:lang w:val="es-ES"/>
        </w:rPr>
        <w:t>ar</w:t>
      </w:r>
      <w:r w:rsidR="000976BE">
        <w:rPr>
          <w:rFonts w:ascii="Arial" w:hAnsi="Arial" w:cs="Arial"/>
          <w:sz w:val="24"/>
          <w:szCs w:val="24"/>
          <w:lang w:val="es-ES"/>
        </w:rPr>
        <w:t xml:space="preserve"> </w:t>
      </w:r>
      <w:r w:rsidR="007372D5" w:rsidRPr="00180258">
        <w:rPr>
          <w:rFonts w:ascii="Arial" w:hAnsi="Arial" w:cs="Arial"/>
          <w:sz w:val="24"/>
          <w:szCs w:val="24"/>
          <w:lang w:val="es-ES"/>
        </w:rPr>
        <w:t>Pieiga</w:t>
      </w:r>
      <w:r w:rsidR="000976BE">
        <w:rPr>
          <w:rFonts w:ascii="Arial" w:hAnsi="Arial" w:cs="Arial"/>
          <w:sz w:val="24"/>
          <w:szCs w:val="24"/>
          <w:lang w:val="es-ES"/>
        </w:rPr>
        <w:t xml:space="preserve"> </w:t>
      </w:r>
      <w:r w:rsidR="00106301" w:rsidRPr="00180258">
        <w:rPr>
          <w:rFonts w:ascii="Arial" w:hAnsi="Arial" w:cs="Arial"/>
          <w:sz w:val="24"/>
          <w:szCs w:val="24"/>
          <w:lang w:val="es-ES"/>
        </w:rPr>
        <w:t xml:space="preserve">E. Infertilidad y sexualidad. </w:t>
      </w:r>
      <w:r w:rsidR="000638FA" w:rsidRPr="00180258">
        <w:rPr>
          <w:rFonts w:ascii="Arial" w:hAnsi="Arial" w:cs="Arial"/>
          <w:sz w:val="24"/>
          <w:szCs w:val="24"/>
          <w:lang w:val="es-BO"/>
        </w:rPr>
        <w:t>Rev</w:t>
      </w:r>
      <w:r w:rsidR="000976BE">
        <w:rPr>
          <w:rFonts w:ascii="Arial" w:hAnsi="Arial" w:cs="Arial"/>
          <w:sz w:val="24"/>
          <w:szCs w:val="24"/>
          <w:lang w:val="es-BO"/>
        </w:rPr>
        <w:t xml:space="preserve"> </w:t>
      </w:r>
      <w:r w:rsidR="000638FA" w:rsidRPr="00180258">
        <w:rPr>
          <w:rFonts w:ascii="Arial" w:hAnsi="Arial" w:cs="Arial"/>
          <w:sz w:val="24"/>
          <w:szCs w:val="24"/>
          <w:lang w:val="es-BO"/>
        </w:rPr>
        <w:t>Cub</w:t>
      </w:r>
      <w:r w:rsidR="000976BE">
        <w:rPr>
          <w:rFonts w:ascii="Arial" w:hAnsi="Arial" w:cs="Arial"/>
          <w:sz w:val="24"/>
          <w:szCs w:val="24"/>
          <w:lang w:val="es-BO"/>
        </w:rPr>
        <w:t xml:space="preserve"> </w:t>
      </w:r>
      <w:r w:rsidR="007372D5" w:rsidRPr="00180258">
        <w:rPr>
          <w:rFonts w:ascii="Arial" w:hAnsi="Arial" w:cs="Arial"/>
          <w:sz w:val="24"/>
          <w:szCs w:val="24"/>
          <w:lang w:val="es-BO"/>
        </w:rPr>
        <w:t>Med Gen Integr</w:t>
      </w:r>
      <w:r w:rsidR="007372D5" w:rsidRPr="00180258">
        <w:rPr>
          <w:rFonts w:ascii="Arial" w:hAnsi="Arial" w:cs="Arial"/>
          <w:sz w:val="24"/>
          <w:szCs w:val="24"/>
          <w:lang w:val="es-ES"/>
        </w:rPr>
        <w:t>[Internet]. 200</w:t>
      </w:r>
      <w:r w:rsidR="00106301" w:rsidRPr="00180258">
        <w:rPr>
          <w:rFonts w:ascii="Arial" w:hAnsi="Arial" w:cs="Arial"/>
          <w:sz w:val="24"/>
          <w:szCs w:val="24"/>
          <w:lang w:val="es-ES"/>
        </w:rPr>
        <w:t>1 [citado 1</w:t>
      </w:r>
      <w:r w:rsidR="007372D5" w:rsidRPr="00180258">
        <w:rPr>
          <w:rFonts w:ascii="Arial" w:hAnsi="Arial" w:cs="Arial"/>
          <w:sz w:val="24"/>
          <w:szCs w:val="24"/>
          <w:lang w:val="es-ES"/>
        </w:rPr>
        <w:t>0 de septiembre de 2021]; 17(3): 291-295</w:t>
      </w:r>
      <w:r w:rsidR="00106301" w:rsidRPr="00180258">
        <w:rPr>
          <w:rFonts w:ascii="Arial" w:hAnsi="Arial" w:cs="Arial"/>
          <w:sz w:val="24"/>
          <w:szCs w:val="24"/>
          <w:lang w:val="es-ES"/>
        </w:rPr>
        <w:t xml:space="preserve">. Disponible en: </w:t>
      </w:r>
      <w:r w:rsidR="007372D5" w:rsidRPr="00751ECE">
        <w:rPr>
          <w:rFonts w:ascii="Arial" w:hAnsi="Arial" w:cs="Arial"/>
          <w:color w:val="0070C0"/>
          <w:sz w:val="24"/>
          <w:szCs w:val="24"/>
          <w:u w:val="single"/>
          <w:lang w:val="es-ES"/>
        </w:rPr>
        <w:t>http://scielo.sld.cu/scielo.php?script=sci_arttext&amp;pid=S0864-21252001000300015&amp;Ing=es</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11</w:t>
      </w:r>
      <w:r w:rsidR="00106301" w:rsidRPr="00180258">
        <w:rPr>
          <w:rFonts w:ascii="Arial" w:hAnsi="Arial" w:cs="Arial"/>
          <w:sz w:val="24"/>
          <w:szCs w:val="24"/>
          <w:lang w:val="es-ES"/>
        </w:rPr>
        <w:t>.</w:t>
      </w:r>
      <w:r w:rsidR="000976BE">
        <w:rPr>
          <w:rFonts w:ascii="Arial" w:hAnsi="Arial" w:cs="Arial"/>
          <w:sz w:val="24"/>
          <w:szCs w:val="24"/>
          <w:lang w:val="es-ES"/>
        </w:rPr>
        <w:t xml:space="preserve"> </w:t>
      </w:r>
      <w:r w:rsidR="00106301" w:rsidRPr="00180258">
        <w:rPr>
          <w:rFonts w:ascii="Arial" w:hAnsi="Arial" w:cs="Arial"/>
          <w:sz w:val="24"/>
          <w:szCs w:val="24"/>
          <w:lang w:val="es-ES"/>
        </w:rPr>
        <w:t>Vite Vargas JA, Ortiz Núñez DA, Hernández M</w:t>
      </w:r>
      <w:r w:rsidR="00694EE4" w:rsidRPr="00180258">
        <w:rPr>
          <w:rFonts w:ascii="Arial" w:hAnsi="Arial" w:cs="Arial"/>
          <w:sz w:val="24"/>
          <w:szCs w:val="24"/>
          <w:lang w:val="es-ES"/>
        </w:rPr>
        <w:t xml:space="preserve">arín </w:t>
      </w:r>
      <w:r w:rsidR="00106301" w:rsidRPr="00180258">
        <w:rPr>
          <w:rFonts w:ascii="Arial" w:hAnsi="Arial" w:cs="Arial"/>
          <w:sz w:val="24"/>
          <w:szCs w:val="24"/>
          <w:lang w:val="es-ES"/>
        </w:rPr>
        <w:t>I, Tovar Rodríguez J</w:t>
      </w:r>
      <w:r w:rsidR="00694EE4" w:rsidRPr="00180258">
        <w:rPr>
          <w:rFonts w:ascii="Arial" w:hAnsi="Arial" w:cs="Arial"/>
          <w:sz w:val="24"/>
          <w:szCs w:val="24"/>
          <w:lang w:val="es-ES"/>
        </w:rPr>
        <w:t xml:space="preserve"> M, Ayala </w:t>
      </w:r>
      <w:r w:rsidR="00106301" w:rsidRPr="00180258">
        <w:rPr>
          <w:rFonts w:ascii="Arial" w:hAnsi="Arial" w:cs="Arial"/>
          <w:sz w:val="24"/>
          <w:szCs w:val="24"/>
          <w:lang w:val="es-ES"/>
        </w:rPr>
        <w:t>R</w:t>
      </w:r>
      <w:r w:rsidR="00694EE4" w:rsidRPr="00180258">
        <w:rPr>
          <w:rFonts w:ascii="Arial" w:hAnsi="Arial" w:cs="Arial"/>
          <w:sz w:val="24"/>
          <w:szCs w:val="24"/>
          <w:lang w:val="es-ES"/>
        </w:rPr>
        <w:t>uíz A R</w:t>
      </w:r>
      <w:r w:rsidR="00106301" w:rsidRPr="00180258">
        <w:rPr>
          <w:rFonts w:ascii="Arial" w:hAnsi="Arial" w:cs="Arial"/>
          <w:sz w:val="24"/>
          <w:szCs w:val="24"/>
          <w:lang w:val="es-ES"/>
        </w:rPr>
        <w:t xml:space="preserve">. Análisis epidemiológico de la infertilidad en una población </w:t>
      </w:r>
      <w:r w:rsidR="00694EE4" w:rsidRPr="00180258">
        <w:rPr>
          <w:rFonts w:ascii="Arial" w:hAnsi="Arial" w:cs="Arial"/>
          <w:sz w:val="24"/>
          <w:szCs w:val="24"/>
          <w:lang w:val="es-ES"/>
        </w:rPr>
        <w:t>mexicana. GinecolObstetMex</w:t>
      </w:r>
      <w:r w:rsidR="00106301" w:rsidRPr="00180258">
        <w:rPr>
          <w:rFonts w:ascii="Arial" w:hAnsi="Arial" w:cs="Arial"/>
          <w:sz w:val="24"/>
          <w:szCs w:val="24"/>
          <w:lang w:val="es-ES"/>
        </w:rPr>
        <w:t xml:space="preserve"> [Internet]. 2005 [citado 1</w:t>
      </w:r>
      <w:r w:rsidR="00694EE4" w:rsidRPr="00180258">
        <w:rPr>
          <w:rFonts w:ascii="Arial" w:hAnsi="Arial" w:cs="Arial"/>
          <w:sz w:val="24"/>
          <w:szCs w:val="24"/>
          <w:lang w:val="es-ES"/>
        </w:rPr>
        <w:t xml:space="preserve">3 de agosto </w:t>
      </w:r>
      <w:r w:rsidR="0050246A" w:rsidRPr="00180258">
        <w:rPr>
          <w:rFonts w:ascii="Arial" w:hAnsi="Arial" w:cs="Arial"/>
          <w:sz w:val="24"/>
          <w:szCs w:val="24"/>
          <w:lang w:val="es-ES"/>
        </w:rPr>
        <w:t>de 2021</w:t>
      </w:r>
      <w:r w:rsidR="00694EE4" w:rsidRPr="00180258">
        <w:rPr>
          <w:rFonts w:ascii="Arial" w:hAnsi="Arial" w:cs="Arial"/>
          <w:sz w:val="24"/>
          <w:szCs w:val="24"/>
          <w:lang w:val="es-ES"/>
        </w:rPr>
        <w:t xml:space="preserve">]; 73(7): 360-364. </w:t>
      </w:r>
      <w:r w:rsidR="00106301" w:rsidRPr="00180258">
        <w:rPr>
          <w:rFonts w:ascii="Arial" w:hAnsi="Arial" w:cs="Arial"/>
          <w:sz w:val="24"/>
          <w:szCs w:val="24"/>
          <w:lang w:val="es-ES"/>
        </w:rPr>
        <w:t>Disponible en:</w:t>
      </w:r>
      <w:r w:rsidR="00751ECE">
        <w:rPr>
          <w:rFonts w:ascii="Arial" w:hAnsi="Arial" w:cs="Arial"/>
          <w:sz w:val="24"/>
          <w:szCs w:val="24"/>
          <w:lang w:val="es-ES"/>
        </w:rPr>
        <w:t xml:space="preserve"> </w:t>
      </w:r>
      <w:r w:rsidR="007372D5" w:rsidRPr="00751ECE">
        <w:rPr>
          <w:rFonts w:ascii="Arial" w:hAnsi="Arial" w:cs="Arial"/>
          <w:color w:val="0070C0"/>
          <w:sz w:val="24"/>
          <w:szCs w:val="24"/>
          <w:u w:val="single"/>
          <w:lang w:val="es-ES"/>
        </w:rPr>
        <w:t>https://www.imbiomed.com.mx/</w:t>
      </w:r>
      <w:r w:rsidR="00104642" w:rsidRPr="00751ECE">
        <w:rPr>
          <w:rFonts w:ascii="Arial" w:hAnsi="Arial" w:cs="Arial"/>
          <w:color w:val="0070C0"/>
          <w:sz w:val="24"/>
          <w:szCs w:val="24"/>
          <w:u w:val="single"/>
          <w:lang w:val="es-ES"/>
        </w:rPr>
        <w:t>articulo.php?id</w:t>
      </w:r>
      <w:r w:rsidR="007372D5" w:rsidRPr="00751ECE">
        <w:rPr>
          <w:rFonts w:ascii="Arial" w:hAnsi="Arial" w:cs="Arial"/>
          <w:color w:val="0070C0"/>
          <w:sz w:val="24"/>
          <w:szCs w:val="24"/>
          <w:u w:val="single"/>
          <w:lang w:val="es-ES"/>
        </w:rPr>
        <w:t>=32738</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12</w:t>
      </w:r>
      <w:r w:rsidR="00106301" w:rsidRPr="00180258">
        <w:rPr>
          <w:rFonts w:ascii="Arial" w:hAnsi="Arial" w:cs="Arial"/>
          <w:sz w:val="24"/>
          <w:szCs w:val="24"/>
          <w:lang w:val="es-ES"/>
        </w:rPr>
        <w:t>. Rojas Montoya N</w:t>
      </w:r>
      <w:r w:rsidR="009F45E9" w:rsidRPr="00180258">
        <w:rPr>
          <w:rFonts w:ascii="Arial" w:hAnsi="Arial" w:cs="Arial"/>
          <w:sz w:val="24"/>
          <w:szCs w:val="24"/>
          <w:lang w:val="es-ES"/>
        </w:rPr>
        <w:t xml:space="preserve"> R, Cabezas Muñico R. La influencia de infertilidad por factor femenino en el logro de embarazo en casos t</w:t>
      </w:r>
      <w:r w:rsidR="00106301" w:rsidRPr="00180258">
        <w:rPr>
          <w:rFonts w:ascii="Arial" w:hAnsi="Arial" w:cs="Arial"/>
          <w:sz w:val="24"/>
          <w:szCs w:val="24"/>
          <w:lang w:val="es-ES"/>
        </w:rPr>
        <w:t>ratados en el Hospital Vic</w:t>
      </w:r>
      <w:r w:rsidR="00D64576" w:rsidRPr="00180258">
        <w:rPr>
          <w:rFonts w:ascii="Arial" w:hAnsi="Arial" w:cs="Arial"/>
          <w:sz w:val="24"/>
          <w:szCs w:val="24"/>
          <w:lang w:val="es-ES"/>
        </w:rPr>
        <w:t>tor Lazarte Echegaray</w:t>
      </w:r>
      <w:r w:rsidR="009F45E9" w:rsidRPr="00180258">
        <w:rPr>
          <w:rFonts w:ascii="Arial" w:hAnsi="Arial" w:cs="Arial"/>
          <w:sz w:val="24"/>
          <w:szCs w:val="24"/>
          <w:lang w:val="es-ES"/>
        </w:rPr>
        <w:t xml:space="preserve"> en el periodo 2010-2011. Rev Monografías </w:t>
      </w:r>
      <w:r w:rsidR="00D64576" w:rsidRPr="00180258">
        <w:rPr>
          <w:rFonts w:ascii="Arial" w:hAnsi="Arial" w:cs="Arial"/>
          <w:sz w:val="24"/>
          <w:szCs w:val="24"/>
          <w:lang w:val="es-ES"/>
        </w:rPr>
        <w:t>[Internet].</w:t>
      </w:r>
      <w:r w:rsidR="00C40549" w:rsidRPr="00180258">
        <w:rPr>
          <w:rFonts w:ascii="Arial" w:hAnsi="Arial" w:cs="Arial"/>
          <w:sz w:val="24"/>
          <w:szCs w:val="24"/>
          <w:lang w:val="es-ES"/>
        </w:rPr>
        <w:t xml:space="preserve"> 2012 [citado 31 de m</w:t>
      </w:r>
      <w:r w:rsidR="00D64576" w:rsidRPr="00180258">
        <w:rPr>
          <w:rFonts w:ascii="Arial" w:hAnsi="Arial" w:cs="Arial"/>
          <w:sz w:val="24"/>
          <w:szCs w:val="24"/>
          <w:lang w:val="es-ES"/>
        </w:rPr>
        <w:t>ayo</w:t>
      </w:r>
      <w:r w:rsidR="00C40549" w:rsidRPr="00180258">
        <w:rPr>
          <w:rFonts w:ascii="Arial" w:hAnsi="Arial" w:cs="Arial"/>
          <w:sz w:val="24"/>
          <w:szCs w:val="24"/>
          <w:lang w:val="es-ES"/>
        </w:rPr>
        <w:t xml:space="preserve"> de 2021</w:t>
      </w:r>
      <w:r w:rsidR="00D64576" w:rsidRPr="00180258">
        <w:rPr>
          <w:rFonts w:ascii="Arial" w:hAnsi="Arial" w:cs="Arial"/>
          <w:sz w:val="24"/>
          <w:szCs w:val="24"/>
          <w:lang w:val="es-ES"/>
        </w:rPr>
        <w:t>]</w:t>
      </w:r>
      <w:r w:rsidR="006012FD" w:rsidRPr="00180258">
        <w:rPr>
          <w:rFonts w:ascii="Arial" w:hAnsi="Arial" w:cs="Arial"/>
          <w:sz w:val="24"/>
          <w:szCs w:val="24"/>
          <w:lang w:val="es-ES"/>
        </w:rPr>
        <w:t>; 95(1):</w:t>
      </w:r>
      <w:r w:rsidR="00104642">
        <w:rPr>
          <w:rFonts w:ascii="Arial" w:hAnsi="Arial" w:cs="Arial"/>
          <w:sz w:val="24"/>
          <w:szCs w:val="24"/>
          <w:lang w:val="es-ES"/>
        </w:rPr>
        <w:t xml:space="preserve"> </w:t>
      </w:r>
      <w:r w:rsidR="006012FD" w:rsidRPr="00180258">
        <w:rPr>
          <w:rFonts w:ascii="Arial" w:hAnsi="Arial" w:cs="Arial"/>
          <w:sz w:val="24"/>
          <w:szCs w:val="24"/>
          <w:lang w:val="es-ES"/>
        </w:rPr>
        <w:t xml:space="preserve">[aprox. 5p.]. </w:t>
      </w:r>
      <w:r w:rsidR="00106301" w:rsidRPr="00180258">
        <w:rPr>
          <w:rFonts w:ascii="Arial" w:hAnsi="Arial" w:cs="Arial"/>
          <w:sz w:val="24"/>
          <w:szCs w:val="24"/>
          <w:lang w:val="es-ES"/>
        </w:rPr>
        <w:t xml:space="preserve">Disponible en: </w:t>
      </w:r>
      <w:r w:rsidR="00106301" w:rsidRPr="00751ECE">
        <w:rPr>
          <w:rFonts w:ascii="Arial" w:hAnsi="Arial" w:cs="Arial"/>
          <w:color w:val="0070C0"/>
          <w:sz w:val="24"/>
          <w:szCs w:val="24"/>
          <w:u w:val="single"/>
          <w:lang w:val="es-ES"/>
        </w:rPr>
        <w:t>http:</w:t>
      </w:r>
      <w:r w:rsidR="00C40549" w:rsidRPr="00751ECE">
        <w:rPr>
          <w:rFonts w:ascii="Arial" w:hAnsi="Arial" w:cs="Arial"/>
          <w:color w:val="0070C0"/>
          <w:sz w:val="24"/>
          <w:szCs w:val="24"/>
          <w:u w:val="single"/>
          <w:lang w:val="es-ES"/>
        </w:rPr>
        <w:t>//m</w:t>
      </w:r>
      <w:r w:rsidR="00106301" w:rsidRPr="00751ECE">
        <w:rPr>
          <w:rFonts w:ascii="Arial" w:hAnsi="Arial" w:cs="Arial"/>
          <w:color w:val="0070C0"/>
          <w:sz w:val="24"/>
          <w:szCs w:val="24"/>
          <w:u w:val="single"/>
          <w:lang w:val="es-ES"/>
        </w:rPr>
        <w:t>.monografias.com/trabajos95/infertilidad-factor-femenino/infertilidad-factor-femenino.shtml</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13</w:t>
      </w:r>
      <w:r w:rsidR="00106301" w:rsidRPr="00180258">
        <w:rPr>
          <w:rFonts w:ascii="Arial" w:hAnsi="Arial" w:cs="Arial"/>
          <w:sz w:val="24"/>
          <w:szCs w:val="24"/>
          <w:lang w:val="es-ES"/>
        </w:rPr>
        <w:t>.</w:t>
      </w:r>
      <w:r w:rsidR="00104642">
        <w:rPr>
          <w:rFonts w:ascii="Arial" w:hAnsi="Arial" w:cs="Arial"/>
          <w:sz w:val="24"/>
          <w:szCs w:val="24"/>
          <w:lang w:val="es-ES"/>
        </w:rPr>
        <w:t xml:space="preserve"> </w:t>
      </w:r>
      <w:r w:rsidR="00106301" w:rsidRPr="00180258">
        <w:rPr>
          <w:rFonts w:ascii="Arial" w:hAnsi="Arial" w:cs="Arial"/>
          <w:sz w:val="24"/>
          <w:szCs w:val="24"/>
          <w:lang w:val="es-ES"/>
        </w:rPr>
        <w:t>Luna F. Infertilidad en Latinoamérica. En busca de un nuevo</w:t>
      </w:r>
      <w:r w:rsidR="007C3289" w:rsidRPr="00180258">
        <w:rPr>
          <w:rFonts w:ascii="Arial" w:hAnsi="Arial" w:cs="Arial"/>
          <w:sz w:val="24"/>
          <w:szCs w:val="24"/>
          <w:lang w:val="es-ES"/>
        </w:rPr>
        <w:t xml:space="preserve"> modelo. Rev. de Bioética y Der [Internet]. 2013 [citado 13 de agosto de 2021]; 28(1)</w:t>
      </w:r>
      <w:r w:rsidR="00ED1625" w:rsidRPr="00180258">
        <w:rPr>
          <w:rFonts w:ascii="Arial" w:hAnsi="Arial" w:cs="Arial"/>
          <w:sz w:val="24"/>
          <w:szCs w:val="24"/>
          <w:lang w:val="es-ES"/>
        </w:rPr>
        <w:t>: 33-47.</w:t>
      </w:r>
      <w:r w:rsidR="00106301" w:rsidRPr="00180258">
        <w:rPr>
          <w:rFonts w:ascii="Arial" w:hAnsi="Arial" w:cs="Arial"/>
          <w:sz w:val="24"/>
          <w:szCs w:val="24"/>
          <w:lang w:val="es-ES"/>
        </w:rPr>
        <w:t xml:space="preserve"> Disponible en: </w:t>
      </w:r>
      <w:r w:rsidR="00106301" w:rsidRPr="00751ECE">
        <w:rPr>
          <w:rFonts w:ascii="Arial" w:hAnsi="Arial" w:cs="Arial"/>
          <w:color w:val="0070C0"/>
          <w:sz w:val="24"/>
          <w:szCs w:val="24"/>
          <w:u w:val="single"/>
          <w:lang w:val="es-ES"/>
        </w:rPr>
        <w:t>http://scielo.isciii.es/pdf/bioetica/n28/articulo3.pdf</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14</w:t>
      </w:r>
      <w:r w:rsidR="006F33F1" w:rsidRPr="00180258">
        <w:rPr>
          <w:rFonts w:ascii="Arial" w:hAnsi="Arial" w:cs="Arial"/>
          <w:sz w:val="24"/>
          <w:szCs w:val="24"/>
          <w:lang w:val="es-ES"/>
        </w:rPr>
        <w:t>.</w:t>
      </w:r>
      <w:r w:rsidR="00AC3CAA">
        <w:rPr>
          <w:rFonts w:ascii="Arial" w:hAnsi="Arial" w:cs="Arial"/>
          <w:sz w:val="24"/>
          <w:szCs w:val="24"/>
          <w:lang w:val="es-ES"/>
        </w:rPr>
        <w:t xml:space="preserve"> </w:t>
      </w:r>
      <w:r w:rsidR="006F33F1" w:rsidRPr="00180258">
        <w:rPr>
          <w:rFonts w:ascii="Arial" w:hAnsi="Arial" w:cs="Arial"/>
          <w:sz w:val="24"/>
          <w:szCs w:val="24"/>
          <w:lang w:val="es-ES"/>
        </w:rPr>
        <w:t>Oehninger S. Impacto de las técnicas de reproducción asistida en neonatología-p</w:t>
      </w:r>
      <w:r w:rsidR="008D32B4" w:rsidRPr="00180258">
        <w:rPr>
          <w:rFonts w:ascii="Arial" w:hAnsi="Arial" w:cs="Arial"/>
          <w:sz w:val="24"/>
          <w:szCs w:val="24"/>
          <w:lang w:val="es-ES"/>
        </w:rPr>
        <w:t>ediatría. ArchPediatrUrug [Internet]. 2021 [c</w:t>
      </w:r>
      <w:r w:rsidR="00106301" w:rsidRPr="00180258">
        <w:rPr>
          <w:rFonts w:ascii="Arial" w:hAnsi="Arial" w:cs="Arial"/>
          <w:sz w:val="24"/>
          <w:szCs w:val="24"/>
          <w:lang w:val="es-ES"/>
        </w:rPr>
        <w:t xml:space="preserve">itado    </w:t>
      </w:r>
      <w:r w:rsidR="008D32B4" w:rsidRPr="00180258">
        <w:rPr>
          <w:rFonts w:ascii="Arial" w:hAnsi="Arial" w:cs="Arial"/>
          <w:sz w:val="24"/>
          <w:szCs w:val="24"/>
          <w:lang w:val="es-ES"/>
        </w:rPr>
        <w:t>26 de diciembre de 2021];</w:t>
      </w:r>
      <w:r w:rsidR="00106301" w:rsidRPr="00180258">
        <w:rPr>
          <w:rFonts w:ascii="Arial" w:hAnsi="Arial" w:cs="Arial"/>
          <w:sz w:val="24"/>
          <w:szCs w:val="24"/>
          <w:lang w:val="es-ES"/>
        </w:rPr>
        <w:t xml:space="preserve"> 72(4)</w:t>
      </w:r>
      <w:r w:rsidR="008D32B4" w:rsidRPr="00180258">
        <w:rPr>
          <w:rFonts w:ascii="Arial" w:hAnsi="Arial" w:cs="Arial"/>
          <w:sz w:val="24"/>
          <w:szCs w:val="24"/>
          <w:lang w:val="es-ES"/>
        </w:rPr>
        <w:t xml:space="preserve">: 253-255. Disponible en: </w:t>
      </w:r>
      <w:r w:rsidR="008D32B4" w:rsidRPr="00751ECE">
        <w:rPr>
          <w:rFonts w:ascii="Arial" w:hAnsi="Arial" w:cs="Arial"/>
          <w:color w:val="0070C0"/>
          <w:sz w:val="24"/>
          <w:szCs w:val="24"/>
          <w:u w:val="single"/>
          <w:lang w:val="es-ES"/>
        </w:rPr>
        <w:t>http://www.scielo.edu.uy/scielo.php?script=sci_arttext&amp;pid=S1688-12492001000400001&amp;Ing=e</w:t>
      </w:r>
      <w:r w:rsidR="00106301" w:rsidRPr="00751ECE">
        <w:rPr>
          <w:rFonts w:ascii="Arial" w:hAnsi="Arial" w:cs="Arial"/>
          <w:color w:val="0070C0"/>
          <w:sz w:val="24"/>
          <w:szCs w:val="24"/>
          <w:u w:val="single"/>
          <w:lang w:val="es-ES"/>
        </w:rPr>
        <w:t>s</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15</w:t>
      </w:r>
      <w:r w:rsidR="00106301" w:rsidRPr="00180258">
        <w:rPr>
          <w:rFonts w:ascii="Arial" w:hAnsi="Arial" w:cs="Arial"/>
          <w:sz w:val="24"/>
          <w:szCs w:val="24"/>
          <w:lang w:val="es-ES"/>
        </w:rPr>
        <w:t>.</w:t>
      </w:r>
      <w:r w:rsidR="00AC3CAA">
        <w:rPr>
          <w:rFonts w:ascii="Arial" w:hAnsi="Arial" w:cs="Arial"/>
          <w:sz w:val="24"/>
          <w:szCs w:val="24"/>
          <w:lang w:val="es-ES"/>
        </w:rPr>
        <w:t xml:space="preserve"> </w:t>
      </w:r>
      <w:r w:rsidR="00106301" w:rsidRPr="00180258">
        <w:rPr>
          <w:rFonts w:ascii="Arial" w:hAnsi="Arial" w:cs="Arial"/>
          <w:sz w:val="24"/>
          <w:szCs w:val="24"/>
          <w:lang w:val="es-ES"/>
        </w:rPr>
        <w:t>Noriega Portella L</w:t>
      </w:r>
      <w:r w:rsidR="00B370AE" w:rsidRPr="00180258">
        <w:rPr>
          <w:rFonts w:ascii="Arial" w:hAnsi="Arial" w:cs="Arial"/>
          <w:sz w:val="24"/>
          <w:szCs w:val="24"/>
          <w:lang w:val="es-ES"/>
        </w:rPr>
        <w:t>. Rol de la ecografía en el manejo de la infertilidad. Rev</w:t>
      </w:r>
      <w:r w:rsidR="00AC3CAA">
        <w:rPr>
          <w:rFonts w:ascii="Arial" w:hAnsi="Arial" w:cs="Arial"/>
          <w:sz w:val="24"/>
          <w:szCs w:val="24"/>
          <w:lang w:val="es-ES"/>
        </w:rPr>
        <w:t xml:space="preserve"> </w:t>
      </w:r>
      <w:r w:rsidR="00B370AE" w:rsidRPr="00180258">
        <w:rPr>
          <w:rFonts w:ascii="Arial" w:hAnsi="Arial" w:cs="Arial"/>
          <w:sz w:val="24"/>
          <w:szCs w:val="24"/>
          <w:lang w:val="es-ES"/>
        </w:rPr>
        <w:t>Peru</w:t>
      </w:r>
      <w:r w:rsidR="00AC3CAA">
        <w:rPr>
          <w:rFonts w:ascii="Arial" w:hAnsi="Arial" w:cs="Arial"/>
          <w:sz w:val="24"/>
          <w:szCs w:val="24"/>
          <w:lang w:val="es-ES"/>
        </w:rPr>
        <w:t xml:space="preserve"> </w:t>
      </w:r>
      <w:r w:rsidR="00B370AE" w:rsidRPr="00180258">
        <w:rPr>
          <w:rFonts w:ascii="Arial" w:hAnsi="Arial" w:cs="Arial"/>
          <w:sz w:val="24"/>
          <w:szCs w:val="24"/>
          <w:lang w:val="es-ES"/>
        </w:rPr>
        <w:t>Ginecol</w:t>
      </w:r>
      <w:r w:rsidR="00AC3CAA">
        <w:rPr>
          <w:rFonts w:ascii="Arial" w:hAnsi="Arial" w:cs="Arial"/>
          <w:sz w:val="24"/>
          <w:szCs w:val="24"/>
          <w:lang w:val="es-ES"/>
        </w:rPr>
        <w:t xml:space="preserve"> </w:t>
      </w:r>
      <w:r w:rsidR="00B370AE" w:rsidRPr="00180258">
        <w:rPr>
          <w:rFonts w:ascii="Arial" w:hAnsi="Arial" w:cs="Arial"/>
          <w:sz w:val="24"/>
          <w:szCs w:val="24"/>
          <w:lang w:val="es-ES"/>
        </w:rPr>
        <w:t>Obstet [internet]. 2012 [citado 06 junio de 2021]; 58 (2): 95-100. Disponible e</w:t>
      </w:r>
      <w:r w:rsidR="00106301" w:rsidRPr="00180258">
        <w:rPr>
          <w:rFonts w:ascii="Arial" w:hAnsi="Arial" w:cs="Arial"/>
          <w:sz w:val="24"/>
          <w:szCs w:val="24"/>
          <w:lang w:val="es-ES"/>
        </w:rPr>
        <w:t xml:space="preserve">n: </w:t>
      </w:r>
      <w:r w:rsidR="00106301" w:rsidRPr="00751ECE">
        <w:rPr>
          <w:rFonts w:ascii="Arial" w:hAnsi="Arial" w:cs="Arial"/>
          <w:color w:val="0070C0"/>
          <w:sz w:val="24"/>
          <w:szCs w:val="24"/>
          <w:u w:val="single"/>
          <w:lang w:val="es-ES"/>
        </w:rPr>
        <w:t>http://www.scielo.org.pe/scielo.php?script=sci_arttext&amp;pid=s2304-5</w:t>
      </w:r>
      <w:r w:rsidR="00B370AE" w:rsidRPr="00751ECE">
        <w:rPr>
          <w:rFonts w:ascii="Arial" w:hAnsi="Arial" w:cs="Arial"/>
          <w:color w:val="0070C0"/>
          <w:sz w:val="24"/>
          <w:szCs w:val="24"/>
          <w:u w:val="single"/>
          <w:lang w:val="es-ES"/>
        </w:rPr>
        <w:t>1322012000200005&amp;lng=es</w:t>
      </w:r>
    </w:p>
    <w:p w:rsidR="006C409E"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n-US"/>
        </w:rPr>
        <w:lastRenderedPageBreak/>
        <w:t>16</w:t>
      </w:r>
      <w:r w:rsidR="00106301" w:rsidRPr="00180258">
        <w:rPr>
          <w:rFonts w:ascii="Arial" w:hAnsi="Arial" w:cs="Arial"/>
          <w:sz w:val="24"/>
          <w:szCs w:val="24"/>
          <w:lang w:val="en-US"/>
        </w:rPr>
        <w:t>.</w:t>
      </w:r>
      <w:r w:rsidR="00AC3CAA">
        <w:rPr>
          <w:rFonts w:ascii="Arial" w:hAnsi="Arial" w:cs="Arial"/>
          <w:sz w:val="24"/>
          <w:szCs w:val="24"/>
          <w:lang w:val="en-US"/>
        </w:rPr>
        <w:t xml:space="preserve"> </w:t>
      </w:r>
      <w:r w:rsidR="00733022" w:rsidRPr="00180258">
        <w:rPr>
          <w:rFonts w:ascii="Arial" w:hAnsi="Arial" w:cs="Arial"/>
          <w:sz w:val="24"/>
          <w:szCs w:val="24"/>
          <w:lang w:val="en-US"/>
        </w:rPr>
        <w:t xml:space="preserve">Shivi Jain. Antral follicle counts as predictor of ovarian reserve. </w:t>
      </w:r>
      <w:r w:rsidR="00733022" w:rsidRPr="00180258">
        <w:rPr>
          <w:rFonts w:ascii="Arial" w:hAnsi="Arial" w:cs="Arial"/>
          <w:sz w:val="24"/>
          <w:szCs w:val="24"/>
          <w:lang w:val="es-BO"/>
        </w:rPr>
        <w:t>ARC</w:t>
      </w:r>
      <w:r w:rsidR="00733022" w:rsidRPr="00180258">
        <w:rPr>
          <w:rFonts w:ascii="Arial" w:hAnsi="Arial" w:cs="Arial"/>
          <w:sz w:val="24"/>
          <w:szCs w:val="24"/>
          <w:lang w:val="es-ES"/>
        </w:rPr>
        <w:t xml:space="preserve"> [Internet]. 2017 [citado 28 de julio de </w:t>
      </w:r>
      <w:r w:rsidR="008C4890">
        <w:rPr>
          <w:rFonts w:ascii="Arial" w:hAnsi="Arial" w:cs="Arial"/>
          <w:sz w:val="24"/>
          <w:szCs w:val="24"/>
          <w:lang w:val="es-ES"/>
        </w:rPr>
        <w:t>2021]; 2(1): 1-3. Disponible en</w:t>
      </w:r>
      <w:r w:rsidR="00733022" w:rsidRPr="00180258">
        <w:rPr>
          <w:rFonts w:ascii="Arial" w:hAnsi="Arial" w:cs="Arial"/>
          <w:sz w:val="24"/>
          <w:szCs w:val="24"/>
          <w:lang w:val="es-ES"/>
        </w:rPr>
        <w:t xml:space="preserve">: </w:t>
      </w:r>
      <w:r w:rsidR="00733022" w:rsidRPr="00751ECE">
        <w:rPr>
          <w:rFonts w:ascii="Arial" w:hAnsi="Arial" w:cs="Arial"/>
          <w:color w:val="0070C0"/>
          <w:sz w:val="24"/>
          <w:szCs w:val="24"/>
          <w:u w:val="single"/>
          <w:lang w:val="es-ES"/>
        </w:rPr>
        <w:t>https://www.arcjournals.org/journal-of-radiology-and-medical-imaging/volume-2-2-issue-1/1</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17</w:t>
      </w:r>
      <w:r w:rsidR="00106301" w:rsidRPr="00180258">
        <w:rPr>
          <w:rFonts w:ascii="Arial" w:hAnsi="Arial" w:cs="Arial"/>
          <w:sz w:val="24"/>
          <w:szCs w:val="24"/>
          <w:lang w:val="es-ES"/>
        </w:rPr>
        <w:t>.</w:t>
      </w:r>
      <w:r w:rsidR="00AC3CAA">
        <w:rPr>
          <w:rFonts w:ascii="Arial" w:hAnsi="Arial" w:cs="Arial"/>
          <w:sz w:val="24"/>
          <w:szCs w:val="24"/>
          <w:lang w:val="es-ES"/>
        </w:rPr>
        <w:t xml:space="preserve"> </w:t>
      </w:r>
      <w:r w:rsidR="00733022" w:rsidRPr="00180258">
        <w:rPr>
          <w:rFonts w:ascii="Arial" w:hAnsi="Arial" w:cs="Arial"/>
          <w:sz w:val="24"/>
          <w:szCs w:val="24"/>
          <w:lang w:val="es-ES"/>
        </w:rPr>
        <w:t xml:space="preserve">Peña Mantilla A B, Bonachea Peña R P, Beltrán Molina E M, Echemendía Marrero D, Fernández Caballero Z, Álvarez Farfán M. </w:t>
      </w:r>
      <w:r w:rsidR="004E24C6" w:rsidRPr="00180258">
        <w:rPr>
          <w:rFonts w:ascii="Arial" w:hAnsi="Arial" w:cs="Arial"/>
          <w:sz w:val="24"/>
          <w:szCs w:val="24"/>
          <w:lang w:val="es-ES"/>
        </w:rPr>
        <w:t>Daños y consecuencias de chlamydia trachomatis en mujeres infértiles. Rev</w:t>
      </w:r>
      <w:r w:rsidR="00AC3CAA">
        <w:rPr>
          <w:rFonts w:ascii="Arial" w:hAnsi="Arial" w:cs="Arial"/>
          <w:sz w:val="24"/>
          <w:szCs w:val="24"/>
          <w:lang w:val="es-ES"/>
        </w:rPr>
        <w:t xml:space="preserve"> </w:t>
      </w:r>
      <w:r w:rsidR="004E24C6" w:rsidRPr="00180258">
        <w:rPr>
          <w:rFonts w:ascii="Arial" w:hAnsi="Arial" w:cs="Arial"/>
          <w:sz w:val="24"/>
          <w:szCs w:val="24"/>
          <w:lang w:val="es-ES"/>
        </w:rPr>
        <w:t>Cubana</w:t>
      </w:r>
      <w:r w:rsidR="00AC3CAA">
        <w:rPr>
          <w:rFonts w:ascii="Arial" w:hAnsi="Arial" w:cs="Arial"/>
          <w:sz w:val="24"/>
          <w:szCs w:val="24"/>
          <w:lang w:val="es-ES"/>
        </w:rPr>
        <w:t xml:space="preserve"> </w:t>
      </w:r>
      <w:r w:rsidR="004E24C6" w:rsidRPr="00180258">
        <w:rPr>
          <w:rFonts w:ascii="Arial" w:hAnsi="Arial" w:cs="Arial"/>
          <w:sz w:val="24"/>
          <w:szCs w:val="24"/>
          <w:lang w:val="es-ES"/>
        </w:rPr>
        <w:t>Ginecol</w:t>
      </w:r>
      <w:r w:rsidR="00AC3CAA">
        <w:rPr>
          <w:rFonts w:ascii="Arial" w:hAnsi="Arial" w:cs="Arial"/>
          <w:sz w:val="24"/>
          <w:szCs w:val="24"/>
          <w:lang w:val="es-ES"/>
        </w:rPr>
        <w:t xml:space="preserve"> </w:t>
      </w:r>
      <w:r w:rsidR="004E24C6" w:rsidRPr="00180258">
        <w:rPr>
          <w:rFonts w:ascii="Arial" w:hAnsi="Arial" w:cs="Arial"/>
          <w:sz w:val="24"/>
          <w:szCs w:val="24"/>
          <w:lang w:val="es-ES"/>
        </w:rPr>
        <w:t>Obstet[Internet]. 2019 [citado 16 de septiembre 2021]; 45(2):</w:t>
      </w:r>
      <w:r w:rsidR="00AC3CAA">
        <w:rPr>
          <w:rFonts w:ascii="Arial" w:hAnsi="Arial" w:cs="Arial"/>
          <w:sz w:val="24"/>
          <w:szCs w:val="24"/>
          <w:lang w:val="es-ES"/>
        </w:rPr>
        <w:t xml:space="preserve"> </w:t>
      </w:r>
      <w:r w:rsidR="004E24C6" w:rsidRPr="00180258">
        <w:rPr>
          <w:rFonts w:ascii="Arial" w:hAnsi="Arial" w:cs="Arial"/>
          <w:sz w:val="24"/>
          <w:szCs w:val="24"/>
          <w:lang w:val="es-ES"/>
        </w:rPr>
        <w:t xml:space="preserve">[aprox. 5p.]. Disponible en: </w:t>
      </w:r>
      <w:r w:rsidR="004E24C6" w:rsidRPr="00751ECE">
        <w:rPr>
          <w:rFonts w:ascii="Arial" w:hAnsi="Arial" w:cs="Arial"/>
          <w:color w:val="0070C0"/>
          <w:sz w:val="24"/>
          <w:szCs w:val="24"/>
          <w:u w:val="single"/>
          <w:lang w:val="es-ES"/>
        </w:rPr>
        <w:t>http://revginecobstetricia.sld.cu/index.php/gin/article/view/449</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18</w:t>
      </w:r>
      <w:r w:rsidR="004E24C6" w:rsidRPr="00180258">
        <w:rPr>
          <w:rFonts w:ascii="Arial" w:hAnsi="Arial" w:cs="Arial"/>
          <w:sz w:val="24"/>
          <w:szCs w:val="24"/>
          <w:lang w:val="es-ES"/>
        </w:rPr>
        <w:t xml:space="preserve">. Trujillo C, Moya Salazar J, Rodríguez U, Reyes H, Florian L, Contreras Paulache H. Chlamydia trachomatis y su relación con la infertilidad de causa tubaria en mujeres sexualmente activas. RevCubanaGinecolObstet [Internet]. 2020 [citado 24 de septiembre de 2021]; 46(2): [aprox. 6p.]. Disponible en: </w:t>
      </w:r>
      <w:r w:rsidR="004E24C6" w:rsidRPr="00751ECE">
        <w:rPr>
          <w:rFonts w:ascii="Arial" w:hAnsi="Arial" w:cs="Arial"/>
          <w:color w:val="0070C0"/>
          <w:sz w:val="24"/>
          <w:szCs w:val="24"/>
          <w:u w:val="single"/>
          <w:lang w:val="es-ES"/>
        </w:rPr>
        <w:t>http://www.revginecobstetricia.sld.cu/index.php/</w:t>
      </w:r>
      <w:r w:rsidR="00EB279A" w:rsidRPr="00751ECE">
        <w:rPr>
          <w:rFonts w:ascii="Arial" w:hAnsi="Arial" w:cs="Arial"/>
          <w:color w:val="0070C0"/>
          <w:sz w:val="24"/>
          <w:szCs w:val="24"/>
          <w:u w:val="single"/>
          <w:lang w:val="es-ES"/>
        </w:rPr>
        <w:t>gin/article/view/631</w:t>
      </w:r>
    </w:p>
    <w:p w:rsidR="00106301" w:rsidRPr="00180258" w:rsidRDefault="00106301" w:rsidP="00797188">
      <w:pPr>
        <w:spacing w:after="200" w:line="360" w:lineRule="auto"/>
        <w:jc w:val="both"/>
        <w:rPr>
          <w:rFonts w:ascii="Arial" w:hAnsi="Arial" w:cs="Arial"/>
          <w:sz w:val="24"/>
          <w:szCs w:val="24"/>
          <w:lang w:val="es-ES"/>
        </w:rPr>
      </w:pPr>
      <w:r w:rsidRPr="00180258">
        <w:rPr>
          <w:rFonts w:ascii="Arial" w:hAnsi="Arial" w:cs="Arial"/>
          <w:sz w:val="24"/>
          <w:szCs w:val="24"/>
          <w:lang w:val="es-ES"/>
        </w:rPr>
        <w:t>1</w:t>
      </w:r>
      <w:r w:rsidR="009D3FC6">
        <w:rPr>
          <w:rFonts w:ascii="Arial" w:hAnsi="Arial" w:cs="Arial"/>
          <w:sz w:val="24"/>
          <w:szCs w:val="24"/>
          <w:lang w:val="es-ES"/>
        </w:rPr>
        <w:t>9</w:t>
      </w:r>
      <w:r w:rsidRPr="00180258">
        <w:rPr>
          <w:rFonts w:ascii="Arial" w:hAnsi="Arial" w:cs="Arial"/>
          <w:sz w:val="24"/>
          <w:szCs w:val="24"/>
          <w:lang w:val="es-ES"/>
        </w:rPr>
        <w:t>.</w:t>
      </w:r>
      <w:r w:rsidR="00AC3CAA">
        <w:rPr>
          <w:rFonts w:ascii="Arial" w:hAnsi="Arial" w:cs="Arial"/>
          <w:sz w:val="24"/>
          <w:szCs w:val="24"/>
          <w:lang w:val="es-ES"/>
        </w:rPr>
        <w:t xml:space="preserve"> </w:t>
      </w:r>
      <w:r w:rsidR="00EB279A" w:rsidRPr="00180258">
        <w:rPr>
          <w:rFonts w:ascii="Arial" w:hAnsi="Arial" w:cs="Arial"/>
          <w:sz w:val="24"/>
          <w:szCs w:val="24"/>
          <w:lang w:val="es-ES"/>
        </w:rPr>
        <w:t xml:space="preserve">Rodríguez V, Reyes H, Vázquez C, Cabrera M, González O, Méndez M. Micoplasmahominis y ureaplasmaspp en mujeres que consultan por infertilidad. Rev Cuba Endoc [Internet]. 2019 [citado 14 de noviembre de 2021]; 30(3): [aprox. 7p.]. Disponible en: </w:t>
      </w:r>
      <w:r w:rsidR="00EB279A" w:rsidRPr="00751ECE">
        <w:rPr>
          <w:rFonts w:ascii="Arial" w:hAnsi="Arial" w:cs="Arial"/>
          <w:color w:val="0070C0"/>
          <w:sz w:val="24"/>
          <w:szCs w:val="24"/>
          <w:u w:val="single"/>
          <w:lang w:val="es-ES"/>
        </w:rPr>
        <w:t>https://www.medigraphic.com/cgi-bin/new/resumen.cgi?IDARTICULO=96708</w:t>
      </w:r>
    </w:p>
    <w:p w:rsidR="00106301"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20</w:t>
      </w:r>
      <w:r w:rsidR="00106301" w:rsidRPr="00180258">
        <w:rPr>
          <w:rFonts w:ascii="Arial" w:hAnsi="Arial" w:cs="Arial"/>
          <w:sz w:val="24"/>
          <w:szCs w:val="24"/>
          <w:lang w:val="es-ES"/>
        </w:rPr>
        <w:t>.</w:t>
      </w:r>
      <w:r w:rsidR="00AC3CAA">
        <w:rPr>
          <w:rFonts w:ascii="Arial" w:hAnsi="Arial" w:cs="Arial"/>
          <w:sz w:val="24"/>
          <w:szCs w:val="24"/>
          <w:lang w:val="es-ES"/>
        </w:rPr>
        <w:t xml:space="preserve"> </w:t>
      </w:r>
      <w:r w:rsidR="00106301" w:rsidRPr="00180258">
        <w:rPr>
          <w:rFonts w:ascii="Arial" w:hAnsi="Arial" w:cs="Arial"/>
          <w:sz w:val="24"/>
          <w:szCs w:val="24"/>
          <w:lang w:val="es-ES"/>
        </w:rPr>
        <w:t>Sanchén Casas A, Rodríguez Fernández O</w:t>
      </w:r>
      <w:r w:rsidR="006C01D0" w:rsidRPr="00180258">
        <w:rPr>
          <w:rFonts w:ascii="Arial" w:hAnsi="Arial" w:cs="Arial"/>
          <w:sz w:val="24"/>
          <w:szCs w:val="24"/>
          <w:lang w:val="es-ES"/>
        </w:rPr>
        <w:t xml:space="preserve"> M, Torres Frómeta L D, Pérez Echevarría L M.</w:t>
      </w:r>
      <w:r w:rsidR="00106301" w:rsidRPr="00180258">
        <w:rPr>
          <w:rFonts w:ascii="Arial" w:hAnsi="Arial" w:cs="Arial"/>
          <w:sz w:val="24"/>
          <w:szCs w:val="24"/>
          <w:lang w:val="es-ES"/>
        </w:rPr>
        <w:t xml:space="preserve"> Hallazgos de Micoplasmahominis y Ureaplasmaurealyticum en mujeres con infecciones urogenitales. AMC [Int</w:t>
      </w:r>
      <w:r w:rsidR="006C01D0" w:rsidRPr="00180258">
        <w:rPr>
          <w:rFonts w:ascii="Arial" w:hAnsi="Arial" w:cs="Arial"/>
          <w:sz w:val="24"/>
          <w:szCs w:val="24"/>
          <w:lang w:val="es-ES"/>
        </w:rPr>
        <w:t>ernet]. 2013 [citado 26 de agosto de 2021]; 17(3): 309-321</w:t>
      </w:r>
      <w:r w:rsidR="00106301" w:rsidRPr="00180258">
        <w:rPr>
          <w:rFonts w:ascii="Arial" w:hAnsi="Arial" w:cs="Arial"/>
          <w:sz w:val="24"/>
          <w:szCs w:val="24"/>
          <w:lang w:val="es-ES"/>
        </w:rPr>
        <w:t xml:space="preserve">. Disponible en: </w:t>
      </w:r>
      <w:r w:rsidR="00106301" w:rsidRPr="00751ECE">
        <w:rPr>
          <w:rFonts w:ascii="Arial" w:hAnsi="Arial" w:cs="Arial"/>
          <w:color w:val="0070C0"/>
          <w:sz w:val="24"/>
          <w:szCs w:val="24"/>
          <w:u w:val="single"/>
          <w:lang w:val="es-ES"/>
        </w:rPr>
        <w:t>http://</w:t>
      </w:r>
      <w:r w:rsidR="006C01D0" w:rsidRPr="00751ECE">
        <w:rPr>
          <w:rFonts w:ascii="Arial" w:hAnsi="Arial" w:cs="Arial"/>
          <w:color w:val="0070C0"/>
          <w:sz w:val="24"/>
          <w:szCs w:val="24"/>
          <w:u w:val="single"/>
          <w:lang w:val="es-ES"/>
        </w:rPr>
        <w:t>scielo.sld.php?script=sci_arttext&amp;pid=S1025-02552013000300007&amp;Ing=es</w:t>
      </w:r>
    </w:p>
    <w:p w:rsidR="00335920" w:rsidRPr="00180258" w:rsidRDefault="009D3FC6" w:rsidP="00797188">
      <w:pPr>
        <w:spacing w:after="200" w:line="360" w:lineRule="auto"/>
        <w:jc w:val="both"/>
        <w:rPr>
          <w:rFonts w:ascii="Arial" w:hAnsi="Arial" w:cs="Arial"/>
          <w:sz w:val="24"/>
          <w:szCs w:val="24"/>
          <w:lang w:val="es-ES"/>
        </w:rPr>
      </w:pPr>
      <w:r>
        <w:rPr>
          <w:rFonts w:ascii="Arial" w:hAnsi="Arial" w:cs="Arial"/>
          <w:sz w:val="24"/>
          <w:szCs w:val="24"/>
          <w:lang w:val="es-ES"/>
        </w:rPr>
        <w:t>21</w:t>
      </w:r>
      <w:r w:rsidR="00335920" w:rsidRPr="00180258">
        <w:rPr>
          <w:rFonts w:ascii="Arial" w:hAnsi="Arial" w:cs="Arial"/>
          <w:sz w:val="24"/>
          <w:szCs w:val="24"/>
          <w:lang w:val="es-ES"/>
        </w:rPr>
        <w:t xml:space="preserve">. Ramírez Moran A, Scott Grave de Peralta R, Brooks Carballo G. Caracterización clínico epidemiológica de la mujer infértil. AMC [Internet]. 2021 [citado 28 de </w:t>
      </w:r>
      <w:r w:rsidR="00335920" w:rsidRPr="00180258">
        <w:rPr>
          <w:rFonts w:ascii="Arial" w:hAnsi="Arial" w:cs="Arial"/>
          <w:sz w:val="24"/>
          <w:szCs w:val="24"/>
          <w:lang w:val="es-ES"/>
        </w:rPr>
        <w:lastRenderedPageBreak/>
        <w:t>diciembre de 2021]</w:t>
      </w:r>
      <w:r w:rsidR="00F07BAC" w:rsidRPr="00180258">
        <w:rPr>
          <w:rFonts w:ascii="Arial" w:hAnsi="Arial" w:cs="Arial"/>
          <w:sz w:val="24"/>
          <w:szCs w:val="24"/>
          <w:lang w:val="es-ES"/>
        </w:rPr>
        <w:t>; 25(3)</w:t>
      </w:r>
      <w:r w:rsidR="00AC3CAA">
        <w:rPr>
          <w:rFonts w:ascii="Arial" w:hAnsi="Arial" w:cs="Arial"/>
          <w:sz w:val="24"/>
          <w:szCs w:val="24"/>
          <w:lang w:val="es-ES"/>
        </w:rPr>
        <w:t xml:space="preserve"> </w:t>
      </w:r>
      <w:r w:rsidR="00733022" w:rsidRPr="00180258">
        <w:rPr>
          <w:rFonts w:ascii="Arial" w:hAnsi="Arial" w:cs="Arial"/>
          <w:sz w:val="24"/>
          <w:szCs w:val="24"/>
          <w:lang w:val="es-ES"/>
        </w:rPr>
        <w:t xml:space="preserve">[aprox. 8p.]. Disponible en: </w:t>
      </w:r>
      <w:r w:rsidR="00733022" w:rsidRPr="00751ECE">
        <w:rPr>
          <w:rFonts w:ascii="Arial" w:hAnsi="Arial" w:cs="Arial"/>
          <w:color w:val="0070C0"/>
          <w:sz w:val="24"/>
          <w:szCs w:val="24"/>
          <w:u w:val="single"/>
          <w:lang w:val="es-ES"/>
        </w:rPr>
        <w:t>http://revistaamc.sld.cu/index/php/amc/article/view/7972</w:t>
      </w:r>
    </w:p>
    <w:p w:rsidR="00EC0A9F" w:rsidRDefault="00EC0A9F" w:rsidP="006F19CD">
      <w:pPr>
        <w:spacing w:after="0" w:line="360" w:lineRule="auto"/>
        <w:jc w:val="both"/>
        <w:rPr>
          <w:rFonts w:ascii="Arial" w:hAnsi="Arial" w:cs="Arial"/>
          <w:sz w:val="24"/>
          <w:szCs w:val="24"/>
          <w:lang w:val="es-ES"/>
        </w:rPr>
      </w:pPr>
    </w:p>
    <w:p w:rsidR="006F19CD" w:rsidRPr="00885DCE" w:rsidRDefault="006F19CD" w:rsidP="006F19CD">
      <w:pPr>
        <w:spacing w:after="0" w:line="360" w:lineRule="auto"/>
        <w:jc w:val="both"/>
        <w:rPr>
          <w:rFonts w:ascii="Arial" w:hAnsi="Arial" w:cs="Arial"/>
          <w:b/>
          <w:sz w:val="24"/>
          <w:szCs w:val="24"/>
          <w:lang w:val="es-BO"/>
        </w:rPr>
      </w:pPr>
      <w:r w:rsidRPr="00885DCE">
        <w:rPr>
          <w:rFonts w:ascii="Arial" w:hAnsi="Arial" w:cs="Arial"/>
          <w:b/>
          <w:sz w:val="24"/>
          <w:szCs w:val="24"/>
          <w:lang w:val="es-BO"/>
        </w:rPr>
        <w:t>Conflicto de intereses</w:t>
      </w:r>
      <w:bookmarkStart w:id="0" w:name="_GoBack"/>
      <w:bookmarkEnd w:id="0"/>
    </w:p>
    <w:p w:rsidR="006F19CD" w:rsidRPr="00885DCE" w:rsidRDefault="006F19CD" w:rsidP="006F19CD">
      <w:pPr>
        <w:spacing w:after="0" w:line="360" w:lineRule="auto"/>
        <w:jc w:val="both"/>
        <w:rPr>
          <w:rFonts w:ascii="Arial" w:hAnsi="Arial" w:cs="Arial"/>
          <w:b/>
          <w:sz w:val="24"/>
          <w:szCs w:val="24"/>
          <w:lang w:val="es-ES"/>
        </w:rPr>
      </w:pPr>
      <w:r w:rsidRPr="00885DCE">
        <w:rPr>
          <w:rFonts w:ascii="Arial" w:hAnsi="Arial" w:cs="Arial"/>
          <w:sz w:val="24"/>
          <w:szCs w:val="24"/>
          <w:lang w:val="es-ES"/>
        </w:rPr>
        <w:t>No existe conflicto de intereses entre los autores.</w:t>
      </w:r>
      <w:r w:rsidRPr="00885DCE">
        <w:rPr>
          <w:rFonts w:ascii="Arial" w:hAnsi="Arial" w:cs="Arial"/>
          <w:b/>
          <w:sz w:val="24"/>
          <w:szCs w:val="24"/>
          <w:lang w:val="es-ES"/>
        </w:rPr>
        <w:t xml:space="preserve"> </w:t>
      </w:r>
    </w:p>
    <w:p w:rsidR="006F19CD" w:rsidRPr="00885DCE" w:rsidRDefault="006F19CD" w:rsidP="006F19CD">
      <w:pPr>
        <w:spacing w:after="0" w:line="360" w:lineRule="auto"/>
        <w:jc w:val="both"/>
        <w:rPr>
          <w:rFonts w:ascii="Arial" w:hAnsi="Arial" w:cs="Arial"/>
          <w:b/>
          <w:sz w:val="24"/>
          <w:szCs w:val="24"/>
          <w:lang w:val="es-ES"/>
        </w:rPr>
      </w:pPr>
      <w:r w:rsidRPr="00885DCE">
        <w:rPr>
          <w:rFonts w:ascii="Arial" w:hAnsi="Arial" w:cs="Arial"/>
          <w:b/>
          <w:sz w:val="24"/>
          <w:szCs w:val="24"/>
          <w:lang w:val="es-ES"/>
        </w:rPr>
        <w:t>Contribución de los autores</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Conceptualización</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Pr>
          <w:rFonts w:ascii="Arial" w:eastAsia="Times New Roman" w:hAnsi="Arial" w:cs="Arial"/>
          <w:sz w:val="24"/>
          <w:szCs w:val="24"/>
          <w:lang w:val="es-419" w:eastAsia="es-ES"/>
        </w:rPr>
        <w:t xml:space="preserve">Orisel del Carmen Rodríguez Abalo, </w:t>
      </w:r>
      <w:r w:rsidRPr="00885DCE">
        <w:rPr>
          <w:rFonts w:ascii="Arial" w:hAnsi="Arial" w:cs="Arial"/>
          <w:sz w:val="24"/>
          <w:szCs w:val="24"/>
          <w:lang w:val="es-ES"/>
        </w:rPr>
        <w:t>Rolando Rodríguez Puga.</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Curación de datos</w:t>
      </w:r>
      <w:r w:rsidRPr="00885DCE">
        <w:rPr>
          <w:rFonts w:ascii="Arial" w:eastAsia="Times New Roman" w:hAnsi="Arial" w:cs="Arial"/>
          <w:i/>
          <w:sz w:val="24"/>
          <w:szCs w:val="24"/>
          <w:lang w:val="es-419" w:eastAsia="es-ES"/>
        </w:rPr>
        <w:t>:</w:t>
      </w:r>
      <w:r w:rsidRPr="00885DCE">
        <w:rPr>
          <w:rFonts w:ascii="Arial" w:eastAsia="Times New Roman" w:hAnsi="Arial" w:cs="Arial"/>
          <w:i/>
          <w:iCs/>
          <w:sz w:val="24"/>
          <w:szCs w:val="24"/>
          <w:lang w:val="es-419" w:eastAsia="es-ES"/>
        </w:rPr>
        <w:t xml:space="preserve"> </w:t>
      </w:r>
      <w:r w:rsidRPr="006F19CD">
        <w:rPr>
          <w:rFonts w:ascii="Arial" w:eastAsia="Times New Roman" w:hAnsi="Arial" w:cs="Arial"/>
          <w:iCs/>
          <w:sz w:val="24"/>
          <w:szCs w:val="24"/>
          <w:lang w:val="es-419" w:eastAsia="es-ES"/>
        </w:rPr>
        <w:t>Orisel del Carmen Rodríguez Abalo,</w:t>
      </w:r>
      <w:r w:rsidR="00050463">
        <w:rPr>
          <w:rFonts w:ascii="Arial" w:eastAsia="Times New Roman" w:hAnsi="Arial" w:cs="Arial"/>
          <w:i/>
          <w:iCs/>
          <w:sz w:val="24"/>
          <w:szCs w:val="24"/>
          <w:lang w:val="es-419" w:eastAsia="es-ES"/>
        </w:rPr>
        <w:t xml:space="preserve"> </w:t>
      </w:r>
      <w:r w:rsidRPr="00885DCE">
        <w:rPr>
          <w:rFonts w:ascii="Arial" w:hAnsi="Arial" w:cs="Arial"/>
          <w:sz w:val="24"/>
          <w:szCs w:val="24"/>
          <w:lang w:val="es-ES"/>
        </w:rPr>
        <w:t>Rolando Rodríguez Puga, Yoánderson Pérez Díaz.</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Análisis formal</w:t>
      </w:r>
      <w:r w:rsidRPr="00885DCE">
        <w:rPr>
          <w:rFonts w:ascii="Arial" w:eastAsia="Times New Roman" w:hAnsi="Arial" w:cs="Arial"/>
          <w:i/>
          <w:sz w:val="24"/>
          <w:szCs w:val="24"/>
          <w:lang w:val="es-419" w:eastAsia="es-ES"/>
        </w:rPr>
        <w:t>:</w:t>
      </w:r>
      <w:r w:rsidRPr="00885DCE">
        <w:rPr>
          <w:rFonts w:ascii="Arial" w:eastAsia="Times New Roman" w:hAnsi="Arial" w:cs="Arial"/>
          <w:i/>
          <w:iCs/>
          <w:sz w:val="24"/>
          <w:szCs w:val="24"/>
          <w:lang w:val="es-419" w:eastAsia="es-ES"/>
        </w:rPr>
        <w:t xml:space="preserve"> </w:t>
      </w:r>
      <w:r w:rsidR="00050463" w:rsidRPr="00050463">
        <w:rPr>
          <w:rFonts w:ascii="Arial" w:eastAsia="Times New Roman" w:hAnsi="Arial" w:cs="Arial"/>
          <w:iCs/>
          <w:sz w:val="24"/>
          <w:szCs w:val="24"/>
          <w:lang w:val="es-419" w:eastAsia="es-ES"/>
        </w:rPr>
        <w:t>Cristina Isabel Sarabia Tasayco,</w:t>
      </w:r>
      <w:r w:rsidR="00050463">
        <w:rPr>
          <w:rFonts w:ascii="Arial" w:eastAsia="Times New Roman" w:hAnsi="Arial" w:cs="Arial"/>
          <w:i/>
          <w:iCs/>
          <w:sz w:val="24"/>
          <w:szCs w:val="24"/>
          <w:lang w:val="es-419" w:eastAsia="es-ES"/>
        </w:rPr>
        <w:t xml:space="preserve"> </w:t>
      </w:r>
      <w:r w:rsidRPr="00885DCE">
        <w:rPr>
          <w:rFonts w:ascii="Arial" w:hAnsi="Arial" w:cs="Arial"/>
          <w:sz w:val="24"/>
          <w:szCs w:val="24"/>
          <w:lang w:val="es-ES"/>
        </w:rPr>
        <w:t>Rolando Rodríguez Puga.</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Investigación</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sidR="00050463">
        <w:rPr>
          <w:rFonts w:ascii="Arial" w:eastAsia="Times New Roman" w:hAnsi="Arial" w:cs="Arial"/>
          <w:sz w:val="24"/>
          <w:szCs w:val="24"/>
          <w:lang w:val="es-419" w:eastAsia="es-ES"/>
        </w:rPr>
        <w:t xml:space="preserve">Orisel del Carmen Rodríguez Abalo, Cristina Isabel Sarabia Tasayco, </w:t>
      </w:r>
      <w:r w:rsidRPr="00885DCE">
        <w:rPr>
          <w:rFonts w:ascii="Arial" w:eastAsia="Times New Roman" w:hAnsi="Arial" w:cs="Arial"/>
          <w:sz w:val="24"/>
          <w:szCs w:val="24"/>
          <w:lang w:val="es-419" w:eastAsia="es-ES"/>
        </w:rPr>
        <w:t xml:space="preserve">Rolando Rodríguez Puga, </w:t>
      </w:r>
      <w:r w:rsidRPr="00885DCE">
        <w:rPr>
          <w:rFonts w:ascii="Arial" w:hAnsi="Arial" w:cs="Arial"/>
          <w:sz w:val="24"/>
          <w:szCs w:val="24"/>
          <w:lang w:val="es-ES"/>
        </w:rPr>
        <w:t>Yoánderson Pérez Díaz.</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Metodología</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sidR="00755A8C">
        <w:rPr>
          <w:rFonts w:ascii="Arial" w:eastAsia="Times New Roman" w:hAnsi="Arial" w:cs="Arial"/>
          <w:sz w:val="24"/>
          <w:szCs w:val="24"/>
          <w:lang w:val="es-419" w:eastAsia="es-ES"/>
        </w:rPr>
        <w:t xml:space="preserve">Orisel del Carmen Rodríguez Abalo, Rolando Rodríguez Puga, </w:t>
      </w:r>
      <w:r w:rsidRPr="00885DCE">
        <w:rPr>
          <w:rFonts w:ascii="Arial" w:hAnsi="Arial" w:cs="Arial"/>
          <w:sz w:val="24"/>
          <w:szCs w:val="24"/>
          <w:lang w:val="es-ES"/>
        </w:rPr>
        <w:t>Yoánderson Pérez Díaz.</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Supervisión</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sidR="00050463">
        <w:rPr>
          <w:rFonts w:ascii="Arial" w:hAnsi="Arial" w:cs="Arial"/>
          <w:sz w:val="24"/>
          <w:szCs w:val="24"/>
          <w:lang w:val="es-ES"/>
        </w:rPr>
        <w:t>Norma del Carmen González Lucas</w:t>
      </w:r>
      <w:r w:rsidRPr="00885DCE">
        <w:rPr>
          <w:rFonts w:ascii="Arial" w:hAnsi="Arial" w:cs="Arial"/>
          <w:sz w:val="24"/>
          <w:szCs w:val="24"/>
          <w:lang w:val="es-ES"/>
        </w:rPr>
        <w:t>.</w:t>
      </w:r>
    </w:p>
    <w:p w:rsidR="006F19CD" w:rsidRPr="00885DCE" w:rsidRDefault="006F19CD" w:rsidP="006F19CD">
      <w:pPr>
        <w:spacing w:after="0" w:line="360" w:lineRule="auto"/>
        <w:jc w:val="both"/>
        <w:rPr>
          <w:rFonts w:ascii="Arial" w:eastAsia="Times New Roman" w:hAnsi="Arial" w:cs="Arial"/>
          <w:i/>
          <w:iCs/>
          <w:sz w:val="24"/>
          <w:szCs w:val="24"/>
          <w:lang w:val="es-419" w:eastAsia="es-ES"/>
        </w:rPr>
      </w:pPr>
      <w:r w:rsidRPr="00885DCE">
        <w:rPr>
          <w:rFonts w:ascii="Arial" w:eastAsia="Times New Roman" w:hAnsi="Arial" w:cs="Arial"/>
          <w:i/>
          <w:iCs/>
          <w:sz w:val="24"/>
          <w:szCs w:val="24"/>
          <w:lang w:val="es-419" w:eastAsia="es-ES"/>
        </w:rPr>
        <w:t>Validación</w:t>
      </w:r>
      <w:r w:rsidRPr="00885DCE">
        <w:rPr>
          <w:rFonts w:ascii="Arial" w:eastAsia="Times New Roman" w:hAnsi="Arial" w:cs="Arial"/>
          <w:i/>
          <w:sz w:val="24"/>
          <w:szCs w:val="24"/>
          <w:lang w:val="es-419" w:eastAsia="es-ES"/>
        </w:rPr>
        <w:t>:</w:t>
      </w:r>
      <w:r w:rsidRPr="00885DCE">
        <w:rPr>
          <w:rFonts w:ascii="Arial" w:eastAsia="Times New Roman" w:hAnsi="Arial" w:cs="Arial"/>
          <w:i/>
          <w:iCs/>
          <w:sz w:val="24"/>
          <w:szCs w:val="24"/>
          <w:lang w:val="es-419" w:eastAsia="es-ES"/>
        </w:rPr>
        <w:t xml:space="preserve"> </w:t>
      </w:r>
      <w:r w:rsidRPr="00885DCE">
        <w:rPr>
          <w:rFonts w:ascii="Arial" w:hAnsi="Arial" w:cs="Arial"/>
          <w:sz w:val="24"/>
          <w:szCs w:val="24"/>
          <w:lang w:val="es-ES"/>
        </w:rPr>
        <w:t>Orisel del Carmen Rodríguez Abalo</w:t>
      </w:r>
      <w:r w:rsidR="00050463">
        <w:rPr>
          <w:rFonts w:ascii="Arial" w:hAnsi="Arial" w:cs="Arial"/>
          <w:sz w:val="24"/>
          <w:szCs w:val="24"/>
          <w:lang w:val="es-ES"/>
        </w:rPr>
        <w:t>, Cristina Isabel Sarabia Tasayco</w:t>
      </w:r>
      <w:r w:rsidR="00755A8C">
        <w:rPr>
          <w:rFonts w:ascii="Arial" w:hAnsi="Arial" w:cs="Arial"/>
          <w:sz w:val="24"/>
          <w:szCs w:val="24"/>
          <w:lang w:val="es-ES"/>
        </w:rPr>
        <w:t>, Norma del Carmen González Lucas</w:t>
      </w:r>
      <w:r w:rsidRPr="00885DCE">
        <w:rPr>
          <w:rFonts w:ascii="Arial" w:hAnsi="Arial" w:cs="Arial"/>
          <w:sz w:val="24"/>
          <w:szCs w:val="24"/>
          <w:lang w:val="es-ES"/>
        </w:rPr>
        <w:t>.</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Visualización</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sidRPr="00885DCE">
        <w:rPr>
          <w:rFonts w:ascii="Arial" w:hAnsi="Arial" w:cs="Arial"/>
          <w:sz w:val="24"/>
          <w:szCs w:val="24"/>
          <w:lang w:val="es-ES"/>
        </w:rPr>
        <w:t>Orisel del Carmen Rodríguez Abalo</w:t>
      </w:r>
      <w:r w:rsidR="00050463">
        <w:rPr>
          <w:rFonts w:ascii="Arial" w:hAnsi="Arial" w:cs="Arial"/>
          <w:sz w:val="24"/>
          <w:szCs w:val="24"/>
          <w:lang w:val="es-ES"/>
        </w:rPr>
        <w:t>, Cristina Isabel Sarabia Tasayco</w:t>
      </w:r>
      <w:r w:rsidRPr="00885DCE">
        <w:rPr>
          <w:rFonts w:ascii="Arial" w:hAnsi="Arial" w:cs="Arial"/>
          <w:sz w:val="24"/>
          <w:szCs w:val="24"/>
          <w:lang w:val="es-ES"/>
        </w:rPr>
        <w:t>.</w:t>
      </w:r>
    </w:p>
    <w:p w:rsidR="006F19CD" w:rsidRPr="00885DCE" w:rsidRDefault="006F19CD" w:rsidP="006F19CD">
      <w:pPr>
        <w:spacing w:after="0" w:line="360" w:lineRule="auto"/>
        <w:jc w:val="both"/>
        <w:rPr>
          <w:rFonts w:ascii="Arial" w:eastAsia="Times New Roman" w:hAnsi="Arial" w:cs="Arial"/>
          <w:sz w:val="24"/>
          <w:szCs w:val="24"/>
          <w:lang w:val="es-419" w:eastAsia="es-ES"/>
        </w:rPr>
      </w:pPr>
      <w:r w:rsidRPr="00885DCE">
        <w:rPr>
          <w:rFonts w:ascii="Arial" w:eastAsia="Times New Roman" w:hAnsi="Arial" w:cs="Arial"/>
          <w:i/>
          <w:iCs/>
          <w:sz w:val="24"/>
          <w:szCs w:val="24"/>
          <w:lang w:val="es-419" w:eastAsia="es-ES"/>
        </w:rPr>
        <w:t>Redacción-borrador original</w:t>
      </w:r>
      <w:r w:rsidRPr="00885DCE">
        <w:rPr>
          <w:rFonts w:ascii="Arial" w:eastAsia="Times New Roman" w:hAnsi="Arial" w:cs="Arial"/>
          <w:i/>
          <w:sz w:val="24"/>
          <w:szCs w:val="24"/>
          <w:lang w:val="es-419" w:eastAsia="es-ES"/>
        </w:rPr>
        <w:t>:</w:t>
      </w:r>
      <w:r w:rsidRPr="00885DCE">
        <w:rPr>
          <w:rFonts w:ascii="Arial" w:eastAsia="Times New Roman" w:hAnsi="Arial" w:cs="Arial"/>
          <w:sz w:val="24"/>
          <w:szCs w:val="24"/>
          <w:lang w:val="es-419" w:eastAsia="es-ES"/>
        </w:rPr>
        <w:t xml:space="preserve"> </w:t>
      </w:r>
      <w:r w:rsidR="00050463">
        <w:rPr>
          <w:rFonts w:ascii="Arial" w:eastAsia="Times New Roman" w:hAnsi="Arial" w:cs="Arial"/>
          <w:sz w:val="24"/>
          <w:szCs w:val="24"/>
          <w:lang w:val="es-419" w:eastAsia="es-ES"/>
        </w:rPr>
        <w:t xml:space="preserve">Orisel del Carmen Rodríguez Abalo, Cristina Isabel Sarabia Tasayco, </w:t>
      </w:r>
      <w:r w:rsidRPr="00885DCE">
        <w:rPr>
          <w:rFonts w:ascii="Arial" w:hAnsi="Arial" w:cs="Arial"/>
          <w:sz w:val="24"/>
          <w:szCs w:val="24"/>
          <w:lang w:val="es-ES"/>
        </w:rPr>
        <w:t xml:space="preserve">Rolando Rodríguez </w:t>
      </w:r>
      <w:r w:rsidR="00050463">
        <w:rPr>
          <w:rFonts w:ascii="Arial" w:hAnsi="Arial" w:cs="Arial"/>
          <w:sz w:val="24"/>
          <w:szCs w:val="24"/>
          <w:lang w:val="es-ES"/>
        </w:rPr>
        <w:t>Puga.</w:t>
      </w:r>
    </w:p>
    <w:p w:rsidR="006F19CD" w:rsidRPr="00F47021" w:rsidRDefault="006F19CD" w:rsidP="006F19CD">
      <w:pPr>
        <w:spacing w:after="0" w:line="360" w:lineRule="auto"/>
        <w:jc w:val="both"/>
        <w:rPr>
          <w:rFonts w:ascii="Arial" w:eastAsiaTheme="minorHAnsi" w:hAnsi="Arial" w:cs="Arial"/>
          <w:sz w:val="24"/>
          <w:szCs w:val="24"/>
          <w:lang w:val="es-BO"/>
        </w:rPr>
      </w:pPr>
      <w:r w:rsidRPr="00885DCE">
        <w:rPr>
          <w:rFonts w:ascii="Arial" w:eastAsia="Times New Roman" w:hAnsi="Arial" w:cs="Arial"/>
          <w:i/>
          <w:iCs/>
          <w:sz w:val="24"/>
          <w:szCs w:val="24"/>
          <w:lang w:val="es-419" w:eastAsia="es-ES"/>
        </w:rPr>
        <w:t>Redacción-revisión y edición</w:t>
      </w:r>
      <w:r w:rsidRPr="00885DCE">
        <w:rPr>
          <w:rFonts w:ascii="Arial" w:eastAsia="Times New Roman" w:hAnsi="Arial" w:cs="Arial"/>
          <w:i/>
          <w:sz w:val="24"/>
          <w:szCs w:val="24"/>
          <w:lang w:val="es-419" w:eastAsia="es-ES"/>
        </w:rPr>
        <w:t>:</w:t>
      </w:r>
      <w:r w:rsidRPr="00885DCE">
        <w:rPr>
          <w:rFonts w:ascii="Arial" w:eastAsia="Times New Roman" w:hAnsi="Arial" w:cs="Arial"/>
          <w:i/>
          <w:iCs/>
          <w:sz w:val="24"/>
          <w:szCs w:val="24"/>
          <w:lang w:val="es-419" w:eastAsia="es-ES"/>
        </w:rPr>
        <w:t xml:space="preserve"> </w:t>
      </w:r>
      <w:r w:rsidR="00050463">
        <w:rPr>
          <w:rFonts w:ascii="Arial" w:hAnsi="Arial" w:cs="Arial"/>
          <w:sz w:val="24"/>
          <w:szCs w:val="24"/>
          <w:lang w:val="es-ES"/>
        </w:rPr>
        <w:t xml:space="preserve">Orisel del Carmen Rodríguez Abalo, Cristina Isabel Sarabia Tasayco, </w:t>
      </w:r>
      <w:r w:rsidRPr="00885DCE">
        <w:rPr>
          <w:rFonts w:ascii="Arial" w:hAnsi="Arial" w:cs="Arial"/>
          <w:sz w:val="24"/>
          <w:szCs w:val="24"/>
          <w:lang w:val="es-ES"/>
        </w:rPr>
        <w:t>Rolando Rodríguez Puga.</w:t>
      </w:r>
    </w:p>
    <w:p w:rsidR="007811B4" w:rsidRPr="006F19CD" w:rsidRDefault="007811B4" w:rsidP="00797188">
      <w:pPr>
        <w:spacing w:line="276" w:lineRule="auto"/>
        <w:jc w:val="both"/>
        <w:rPr>
          <w:rFonts w:ascii="Arial" w:hAnsi="Arial" w:cs="Arial"/>
          <w:sz w:val="24"/>
          <w:szCs w:val="24"/>
          <w:lang w:val="es-BO"/>
        </w:rPr>
      </w:pPr>
    </w:p>
    <w:p w:rsidR="007A66A6" w:rsidRPr="00A81DD3" w:rsidRDefault="007A66A6" w:rsidP="00A81DD3">
      <w:pPr>
        <w:spacing w:line="276" w:lineRule="auto"/>
        <w:jc w:val="center"/>
        <w:rPr>
          <w:rFonts w:ascii="Arial" w:hAnsi="Arial" w:cs="Arial"/>
          <w:sz w:val="20"/>
          <w:szCs w:val="20"/>
          <w:lang w:val="es-PE"/>
        </w:rPr>
      </w:pPr>
    </w:p>
    <w:sectPr w:rsidR="007A66A6" w:rsidRPr="00A81DD3" w:rsidSect="00376751">
      <w:footerReference w:type="default" r:id="rId14"/>
      <w:pgSz w:w="11906" w:h="16838"/>
      <w:pgMar w:top="2268" w:right="1418" w:bottom="226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C6588" w:rsidRDefault="007C6588" w:rsidP="00FB5C68">
      <w:pPr>
        <w:spacing w:after="0" w:line="240" w:lineRule="auto"/>
      </w:pPr>
      <w:r>
        <w:separator/>
      </w:r>
    </w:p>
  </w:endnote>
  <w:endnote w:type="continuationSeparator" w:id="0">
    <w:p w:rsidR="007C6588" w:rsidRDefault="007C6588" w:rsidP="00FB5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1603442"/>
      <w:docPartObj>
        <w:docPartGallery w:val="Page Numbers (Bottom of Page)"/>
        <w:docPartUnique/>
      </w:docPartObj>
    </w:sdtPr>
    <w:sdtEndPr/>
    <w:sdtContent>
      <w:p w:rsidR="006F19CD" w:rsidRDefault="006F19CD">
        <w:pPr>
          <w:pStyle w:val="Piedepgina"/>
          <w:jc w:val="right"/>
        </w:pPr>
        <w:r>
          <w:fldChar w:fldCharType="begin"/>
        </w:r>
        <w:r>
          <w:instrText>PAGE   \* MERGEFORMAT</w:instrText>
        </w:r>
        <w:r>
          <w:fldChar w:fldCharType="separate"/>
        </w:r>
        <w:r w:rsidR="00751ECE" w:rsidRPr="00751ECE">
          <w:rPr>
            <w:noProof/>
            <w:lang w:val="es-ES"/>
          </w:rPr>
          <w:t>14</w:t>
        </w:r>
        <w:r>
          <w:fldChar w:fldCharType="end"/>
        </w:r>
      </w:p>
    </w:sdtContent>
  </w:sdt>
  <w:p w:rsidR="006F19CD" w:rsidRDefault="006F19CD">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C6588" w:rsidRDefault="007C6588" w:rsidP="00FB5C68">
      <w:pPr>
        <w:spacing w:after="0" w:line="240" w:lineRule="auto"/>
      </w:pPr>
      <w:r>
        <w:separator/>
      </w:r>
    </w:p>
  </w:footnote>
  <w:footnote w:type="continuationSeparator" w:id="0">
    <w:p w:rsidR="007C6588" w:rsidRDefault="007C6588" w:rsidP="00FB5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5C3EA2"/>
    <w:multiLevelType w:val="hybridMultilevel"/>
    <w:tmpl w:val="4712D746"/>
    <w:lvl w:ilvl="0" w:tplc="280A000F">
      <w:start w:val="1"/>
      <w:numFmt w:val="decimal"/>
      <w:lvlText w:val="%1."/>
      <w:lvlJc w:val="left"/>
      <w:pPr>
        <w:ind w:left="720"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1" w15:restartNumberingAfterBreak="0">
    <w:nsid w:val="66AD492C"/>
    <w:multiLevelType w:val="hybridMultilevel"/>
    <w:tmpl w:val="9BC8C208"/>
    <w:lvl w:ilvl="0" w:tplc="1A709006">
      <w:start w:val="1"/>
      <w:numFmt w:val="decimal"/>
      <w:lvlText w:val="%1."/>
      <w:lvlJc w:val="left"/>
      <w:pPr>
        <w:ind w:left="765" w:hanging="360"/>
      </w:pPr>
      <w:rPr>
        <w:rFonts w:cs="Times New Roman" w:hint="default"/>
      </w:rPr>
    </w:lvl>
    <w:lvl w:ilvl="1" w:tplc="280A0019" w:tentative="1">
      <w:start w:val="1"/>
      <w:numFmt w:val="lowerLetter"/>
      <w:lvlText w:val="%2."/>
      <w:lvlJc w:val="left"/>
      <w:pPr>
        <w:ind w:left="1485" w:hanging="360"/>
      </w:pPr>
      <w:rPr>
        <w:rFonts w:cs="Times New Roman"/>
      </w:rPr>
    </w:lvl>
    <w:lvl w:ilvl="2" w:tplc="280A001B" w:tentative="1">
      <w:start w:val="1"/>
      <w:numFmt w:val="lowerRoman"/>
      <w:lvlText w:val="%3."/>
      <w:lvlJc w:val="right"/>
      <w:pPr>
        <w:ind w:left="2205" w:hanging="180"/>
      </w:pPr>
      <w:rPr>
        <w:rFonts w:cs="Times New Roman"/>
      </w:rPr>
    </w:lvl>
    <w:lvl w:ilvl="3" w:tplc="280A000F" w:tentative="1">
      <w:start w:val="1"/>
      <w:numFmt w:val="decimal"/>
      <w:lvlText w:val="%4."/>
      <w:lvlJc w:val="left"/>
      <w:pPr>
        <w:ind w:left="2925" w:hanging="360"/>
      </w:pPr>
      <w:rPr>
        <w:rFonts w:cs="Times New Roman"/>
      </w:rPr>
    </w:lvl>
    <w:lvl w:ilvl="4" w:tplc="280A0019" w:tentative="1">
      <w:start w:val="1"/>
      <w:numFmt w:val="lowerLetter"/>
      <w:lvlText w:val="%5."/>
      <w:lvlJc w:val="left"/>
      <w:pPr>
        <w:ind w:left="3645" w:hanging="360"/>
      </w:pPr>
      <w:rPr>
        <w:rFonts w:cs="Times New Roman"/>
      </w:rPr>
    </w:lvl>
    <w:lvl w:ilvl="5" w:tplc="280A001B" w:tentative="1">
      <w:start w:val="1"/>
      <w:numFmt w:val="lowerRoman"/>
      <w:lvlText w:val="%6."/>
      <w:lvlJc w:val="right"/>
      <w:pPr>
        <w:ind w:left="4365" w:hanging="180"/>
      </w:pPr>
      <w:rPr>
        <w:rFonts w:cs="Times New Roman"/>
      </w:rPr>
    </w:lvl>
    <w:lvl w:ilvl="6" w:tplc="280A000F" w:tentative="1">
      <w:start w:val="1"/>
      <w:numFmt w:val="decimal"/>
      <w:lvlText w:val="%7."/>
      <w:lvlJc w:val="left"/>
      <w:pPr>
        <w:ind w:left="5085" w:hanging="360"/>
      </w:pPr>
      <w:rPr>
        <w:rFonts w:cs="Times New Roman"/>
      </w:rPr>
    </w:lvl>
    <w:lvl w:ilvl="7" w:tplc="280A0019" w:tentative="1">
      <w:start w:val="1"/>
      <w:numFmt w:val="lowerLetter"/>
      <w:lvlText w:val="%8."/>
      <w:lvlJc w:val="left"/>
      <w:pPr>
        <w:ind w:left="5805" w:hanging="360"/>
      </w:pPr>
      <w:rPr>
        <w:rFonts w:cs="Times New Roman"/>
      </w:rPr>
    </w:lvl>
    <w:lvl w:ilvl="8" w:tplc="280A001B" w:tentative="1">
      <w:start w:val="1"/>
      <w:numFmt w:val="lowerRoman"/>
      <w:lvlText w:val="%9."/>
      <w:lvlJc w:val="right"/>
      <w:pPr>
        <w:ind w:left="6525" w:hanging="180"/>
      </w:pPr>
      <w:rPr>
        <w:rFonts w:cs="Times New Roman"/>
      </w:rPr>
    </w:lvl>
  </w:abstractNum>
  <w:abstractNum w:abstractNumId="2" w15:restartNumberingAfterBreak="0">
    <w:nsid w:val="7BB40DDC"/>
    <w:multiLevelType w:val="hybridMultilevel"/>
    <w:tmpl w:val="E3D05124"/>
    <w:lvl w:ilvl="0" w:tplc="280A000B">
      <w:start w:val="1"/>
      <w:numFmt w:val="bullet"/>
      <w:lvlText w:val=""/>
      <w:lvlJc w:val="left"/>
      <w:pPr>
        <w:ind w:left="780" w:hanging="360"/>
      </w:pPr>
      <w:rPr>
        <w:rFonts w:ascii="Wingdings" w:hAnsi="Wingdings" w:hint="default"/>
      </w:rPr>
    </w:lvl>
    <w:lvl w:ilvl="1" w:tplc="280A0003" w:tentative="1">
      <w:start w:val="1"/>
      <w:numFmt w:val="bullet"/>
      <w:lvlText w:val="o"/>
      <w:lvlJc w:val="left"/>
      <w:pPr>
        <w:ind w:left="1500" w:hanging="360"/>
      </w:pPr>
      <w:rPr>
        <w:rFonts w:ascii="Courier New" w:hAnsi="Courier New" w:hint="default"/>
      </w:rPr>
    </w:lvl>
    <w:lvl w:ilvl="2" w:tplc="280A0005" w:tentative="1">
      <w:start w:val="1"/>
      <w:numFmt w:val="bullet"/>
      <w:lvlText w:val=""/>
      <w:lvlJc w:val="left"/>
      <w:pPr>
        <w:ind w:left="2220" w:hanging="360"/>
      </w:pPr>
      <w:rPr>
        <w:rFonts w:ascii="Wingdings" w:hAnsi="Wingdings" w:hint="default"/>
      </w:rPr>
    </w:lvl>
    <w:lvl w:ilvl="3" w:tplc="280A0001" w:tentative="1">
      <w:start w:val="1"/>
      <w:numFmt w:val="bullet"/>
      <w:lvlText w:val=""/>
      <w:lvlJc w:val="left"/>
      <w:pPr>
        <w:ind w:left="2940" w:hanging="360"/>
      </w:pPr>
      <w:rPr>
        <w:rFonts w:ascii="Symbol" w:hAnsi="Symbol" w:hint="default"/>
      </w:rPr>
    </w:lvl>
    <w:lvl w:ilvl="4" w:tplc="280A0003" w:tentative="1">
      <w:start w:val="1"/>
      <w:numFmt w:val="bullet"/>
      <w:lvlText w:val="o"/>
      <w:lvlJc w:val="left"/>
      <w:pPr>
        <w:ind w:left="3660" w:hanging="360"/>
      </w:pPr>
      <w:rPr>
        <w:rFonts w:ascii="Courier New" w:hAnsi="Courier New" w:hint="default"/>
      </w:rPr>
    </w:lvl>
    <w:lvl w:ilvl="5" w:tplc="280A0005" w:tentative="1">
      <w:start w:val="1"/>
      <w:numFmt w:val="bullet"/>
      <w:lvlText w:val=""/>
      <w:lvlJc w:val="left"/>
      <w:pPr>
        <w:ind w:left="4380" w:hanging="360"/>
      </w:pPr>
      <w:rPr>
        <w:rFonts w:ascii="Wingdings" w:hAnsi="Wingdings" w:hint="default"/>
      </w:rPr>
    </w:lvl>
    <w:lvl w:ilvl="6" w:tplc="280A0001" w:tentative="1">
      <w:start w:val="1"/>
      <w:numFmt w:val="bullet"/>
      <w:lvlText w:val=""/>
      <w:lvlJc w:val="left"/>
      <w:pPr>
        <w:ind w:left="5100" w:hanging="360"/>
      </w:pPr>
      <w:rPr>
        <w:rFonts w:ascii="Symbol" w:hAnsi="Symbol" w:hint="default"/>
      </w:rPr>
    </w:lvl>
    <w:lvl w:ilvl="7" w:tplc="280A0003" w:tentative="1">
      <w:start w:val="1"/>
      <w:numFmt w:val="bullet"/>
      <w:lvlText w:val="o"/>
      <w:lvlJc w:val="left"/>
      <w:pPr>
        <w:ind w:left="5820" w:hanging="360"/>
      </w:pPr>
      <w:rPr>
        <w:rFonts w:ascii="Courier New" w:hAnsi="Courier New" w:hint="default"/>
      </w:rPr>
    </w:lvl>
    <w:lvl w:ilvl="8" w:tplc="280A0005" w:tentative="1">
      <w:start w:val="1"/>
      <w:numFmt w:val="bullet"/>
      <w:lvlText w:val=""/>
      <w:lvlJc w:val="left"/>
      <w:pPr>
        <w:ind w:left="654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D3519C"/>
    <w:rsid w:val="00004760"/>
    <w:rsid w:val="00006B6D"/>
    <w:rsid w:val="000126BE"/>
    <w:rsid w:val="00016EA8"/>
    <w:rsid w:val="00020878"/>
    <w:rsid w:val="00022C67"/>
    <w:rsid w:val="00032FFD"/>
    <w:rsid w:val="00050463"/>
    <w:rsid w:val="000546FC"/>
    <w:rsid w:val="00063465"/>
    <w:rsid w:val="000638FA"/>
    <w:rsid w:val="00066512"/>
    <w:rsid w:val="000763DE"/>
    <w:rsid w:val="0008220C"/>
    <w:rsid w:val="00083070"/>
    <w:rsid w:val="00084D73"/>
    <w:rsid w:val="00095142"/>
    <w:rsid w:val="000976BE"/>
    <w:rsid w:val="00097832"/>
    <w:rsid w:val="000B539B"/>
    <w:rsid w:val="000B593C"/>
    <w:rsid w:val="000B76B4"/>
    <w:rsid w:val="000C4BBA"/>
    <w:rsid w:val="000D2D21"/>
    <w:rsid w:val="000F3D23"/>
    <w:rsid w:val="000F6390"/>
    <w:rsid w:val="00104642"/>
    <w:rsid w:val="00106301"/>
    <w:rsid w:val="00133B7F"/>
    <w:rsid w:val="00137E92"/>
    <w:rsid w:val="001403FF"/>
    <w:rsid w:val="00142176"/>
    <w:rsid w:val="00143C62"/>
    <w:rsid w:val="00144EF8"/>
    <w:rsid w:val="001518EE"/>
    <w:rsid w:val="00153CB9"/>
    <w:rsid w:val="001562C0"/>
    <w:rsid w:val="00160769"/>
    <w:rsid w:val="00161A17"/>
    <w:rsid w:val="001639DB"/>
    <w:rsid w:val="00167DDE"/>
    <w:rsid w:val="001737DD"/>
    <w:rsid w:val="00180258"/>
    <w:rsid w:val="00184346"/>
    <w:rsid w:val="00191719"/>
    <w:rsid w:val="00191C22"/>
    <w:rsid w:val="00195A4A"/>
    <w:rsid w:val="00196206"/>
    <w:rsid w:val="001A5B31"/>
    <w:rsid w:val="001B03A9"/>
    <w:rsid w:val="001D07B3"/>
    <w:rsid w:val="001D5CA8"/>
    <w:rsid w:val="001D69BF"/>
    <w:rsid w:val="001E25B3"/>
    <w:rsid w:val="001F3B4C"/>
    <w:rsid w:val="001F49A7"/>
    <w:rsid w:val="001F540D"/>
    <w:rsid w:val="001F7033"/>
    <w:rsid w:val="001F7BDF"/>
    <w:rsid w:val="00203882"/>
    <w:rsid w:val="002079A3"/>
    <w:rsid w:val="00213927"/>
    <w:rsid w:val="00226A31"/>
    <w:rsid w:val="00231545"/>
    <w:rsid w:val="00236563"/>
    <w:rsid w:val="00237250"/>
    <w:rsid w:val="00243C8F"/>
    <w:rsid w:val="002570AF"/>
    <w:rsid w:val="00257419"/>
    <w:rsid w:val="002632DB"/>
    <w:rsid w:val="00270892"/>
    <w:rsid w:val="00273B5F"/>
    <w:rsid w:val="002764D8"/>
    <w:rsid w:val="00282BCD"/>
    <w:rsid w:val="00290C2E"/>
    <w:rsid w:val="00294EF1"/>
    <w:rsid w:val="00295B1B"/>
    <w:rsid w:val="00296F53"/>
    <w:rsid w:val="002A0622"/>
    <w:rsid w:val="002A2E53"/>
    <w:rsid w:val="002A3B51"/>
    <w:rsid w:val="002A6FD5"/>
    <w:rsid w:val="002A752D"/>
    <w:rsid w:val="002B0F72"/>
    <w:rsid w:val="002C27D1"/>
    <w:rsid w:val="002C55B1"/>
    <w:rsid w:val="002C5747"/>
    <w:rsid w:val="002D2E18"/>
    <w:rsid w:val="002E59FF"/>
    <w:rsid w:val="002E7D1B"/>
    <w:rsid w:val="002F176E"/>
    <w:rsid w:val="002F3D8B"/>
    <w:rsid w:val="00314A26"/>
    <w:rsid w:val="00321F86"/>
    <w:rsid w:val="00334D2E"/>
    <w:rsid w:val="003351A8"/>
    <w:rsid w:val="00335920"/>
    <w:rsid w:val="003437C4"/>
    <w:rsid w:val="00346FBE"/>
    <w:rsid w:val="003607F8"/>
    <w:rsid w:val="00374935"/>
    <w:rsid w:val="00376751"/>
    <w:rsid w:val="00376770"/>
    <w:rsid w:val="0038097F"/>
    <w:rsid w:val="0038654D"/>
    <w:rsid w:val="0039138F"/>
    <w:rsid w:val="003A04BB"/>
    <w:rsid w:val="003A05D2"/>
    <w:rsid w:val="003A460F"/>
    <w:rsid w:val="003B37A2"/>
    <w:rsid w:val="003C48D5"/>
    <w:rsid w:val="00403CE5"/>
    <w:rsid w:val="00411C0C"/>
    <w:rsid w:val="00413D91"/>
    <w:rsid w:val="00416B06"/>
    <w:rsid w:val="00417CF0"/>
    <w:rsid w:val="004241C8"/>
    <w:rsid w:val="00425413"/>
    <w:rsid w:val="00426188"/>
    <w:rsid w:val="0042749E"/>
    <w:rsid w:val="00430E55"/>
    <w:rsid w:val="004367FB"/>
    <w:rsid w:val="004418D6"/>
    <w:rsid w:val="004550EA"/>
    <w:rsid w:val="00455CA7"/>
    <w:rsid w:val="004577E8"/>
    <w:rsid w:val="004856AA"/>
    <w:rsid w:val="00493620"/>
    <w:rsid w:val="00494358"/>
    <w:rsid w:val="00497B4C"/>
    <w:rsid w:val="004A0BAE"/>
    <w:rsid w:val="004B54CF"/>
    <w:rsid w:val="004C07D5"/>
    <w:rsid w:val="004C4297"/>
    <w:rsid w:val="004C7D7B"/>
    <w:rsid w:val="004D0677"/>
    <w:rsid w:val="004D2AF3"/>
    <w:rsid w:val="004D3D03"/>
    <w:rsid w:val="004D496F"/>
    <w:rsid w:val="004D67DE"/>
    <w:rsid w:val="004D778B"/>
    <w:rsid w:val="004E01DA"/>
    <w:rsid w:val="004E0397"/>
    <w:rsid w:val="004E24C6"/>
    <w:rsid w:val="004E2782"/>
    <w:rsid w:val="004E2C69"/>
    <w:rsid w:val="004E6E31"/>
    <w:rsid w:val="004F0F5D"/>
    <w:rsid w:val="004F3DC1"/>
    <w:rsid w:val="0050246A"/>
    <w:rsid w:val="005153A6"/>
    <w:rsid w:val="00520E31"/>
    <w:rsid w:val="005223E9"/>
    <w:rsid w:val="00530C0F"/>
    <w:rsid w:val="005339DF"/>
    <w:rsid w:val="00533C14"/>
    <w:rsid w:val="00533F82"/>
    <w:rsid w:val="00542A11"/>
    <w:rsid w:val="00546509"/>
    <w:rsid w:val="00547E41"/>
    <w:rsid w:val="005531C1"/>
    <w:rsid w:val="00557622"/>
    <w:rsid w:val="005577C0"/>
    <w:rsid w:val="005624AA"/>
    <w:rsid w:val="00562FC5"/>
    <w:rsid w:val="00564BC8"/>
    <w:rsid w:val="005702F8"/>
    <w:rsid w:val="005833DE"/>
    <w:rsid w:val="00586D59"/>
    <w:rsid w:val="005935F2"/>
    <w:rsid w:val="005B24C6"/>
    <w:rsid w:val="005D3322"/>
    <w:rsid w:val="005D4F39"/>
    <w:rsid w:val="005E2D6D"/>
    <w:rsid w:val="005F087C"/>
    <w:rsid w:val="005F2DE3"/>
    <w:rsid w:val="005F55CC"/>
    <w:rsid w:val="006012FD"/>
    <w:rsid w:val="00613DA0"/>
    <w:rsid w:val="00620219"/>
    <w:rsid w:val="0063298A"/>
    <w:rsid w:val="00633C28"/>
    <w:rsid w:val="00640809"/>
    <w:rsid w:val="00642244"/>
    <w:rsid w:val="00653279"/>
    <w:rsid w:val="00653E1E"/>
    <w:rsid w:val="006561A7"/>
    <w:rsid w:val="00661F07"/>
    <w:rsid w:val="00667086"/>
    <w:rsid w:val="0067498F"/>
    <w:rsid w:val="00682417"/>
    <w:rsid w:val="00682AB2"/>
    <w:rsid w:val="00683507"/>
    <w:rsid w:val="00691CFD"/>
    <w:rsid w:val="00693D27"/>
    <w:rsid w:val="00694EE4"/>
    <w:rsid w:val="006A226A"/>
    <w:rsid w:val="006A347F"/>
    <w:rsid w:val="006A3D0B"/>
    <w:rsid w:val="006C01D0"/>
    <w:rsid w:val="006C409E"/>
    <w:rsid w:val="006C4BBF"/>
    <w:rsid w:val="006C5B35"/>
    <w:rsid w:val="006C5D85"/>
    <w:rsid w:val="006D0A96"/>
    <w:rsid w:val="006D4214"/>
    <w:rsid w:val="006E149E"/>
    <w:rsid w:val="006F19CD"/>
    <w:rsid w:val="006F21FB"/>
    <w:rsid w:val="006F33F1"/>
    <w:rsid w:val="006F4D7A"/>
    <w:rsid w:val="006F5E29"/>
    <w:rsid w:val="0070299A"/>
    <w:rsid w:val="00703C87"/>
    <w:rsid w:val="00720942"/>
    <w:rsid w:val="00721509"/>
    <w:rsid w:val="00724796"/>
    <w:rsid w:val="00725CA8"/>
    <w:rsid w:val="00733022"/>
    <w:rsid w:val="00734A58"/>
    <w:rsid w:val="007372D5"/>
    <w:rsid w:val="00744792"/>
    <w:rsid w:val="0074734D"/>
    <w:rsid w:val="00751ECE"/>
    <w:rsid w:val="00755A8C"/>
    <w:rsid w:val="00767376"/>
    <w:rsid w:val="00776F5F"/>
    <w:rsid w:val="007811B4"/>
    <w:rsid w:val="0078733E"/>
    <w:rsid w:val="00790682"/>
    <w:rsid w:val="00794BCA"/>
    <w:rsid w:val="00797188"/>
    <w:rsid w:val="00797FDA"/>
    <w:rsid w:val="007A2ECC"/>
    <w:rsid w:val="007A66A6"/>
    <w:rsid w:val="007A755C"/>
    <w:rsid w:val="007B490D"/>
    <w:rsid w:val="007B565A"/>
    <w:rsid w:val="007B6434"/>
    <w:rsid w:val="007C3289"/>
    <w:rsid w:val="007C4781"/>
    <w:rsid w:val="007C611A"/>
    <w:rsid w:val="007C6588"/>
    <w:rsid w:val="007D09BB"/>
    <w:rsid w:val="007D29B6"/>
    <w:rsid w:val="007D2E26"/>
    <w:rsid w:val="007D4C4D"/>
    <w:rsid w:val="007D530F"/>
    <w:rsid w:val="007D61AA"/>
    <w:rsid w:val="007D78B6"/>
    <w:rsid w:val="007F2096"/>
    <w:rsid w:val="007F318B"/>
    <w:rsid w:val="007F552F"/>
    <w:rsid w:val="007F6707"/>
    <w:rsid w:val="00802760"/>
    <w:rsid w:val="0081158D"/>
    <w:rsid w:val="008177CF"/>
    <w:rsid w:val="00824F63"/>
    <w:rsid w:val="008252C1"/>
    <w:rsid w:val="0082557F"/>
    <w:rsid w:val="00832E53"/>
    <w:rsid w:val="00840FBF"/>
    <w:rsid w:val="00852F51"/>
    <w:rsid w:val="00857E16"/>
    <w:rsid w:val="00870207"/>
    <w:rsid w:val="0087068B"/>
    <w:rsid w:val="00883F78"/>
    <w:rsid w:val="00884FEB"/>
    <w:rsid w:val="008866B2"/>
    <w:rsid w:val="008B4C38"/>
    <w:rsid w:val="008B6984"/>
    <w:rsid w:val="008C0910"/>
    <w:rsid w:val="008C4890"/>
    <w:rsid w:val="008C5F5C"/>
    <w:rsid w:val="008D32B4"/>
    <w:rsid w:val="008E035F"/>
    <w:rsid w:val="008E688A"/>
    <w:rsid w:val="008E7F23"/>
    <w:rsid w:val="008F012A"/>
    <w:rsid w:val="008F5CCE"/>
    <w:rsid w:val="00911ECF"/>
    <w:rsid w:val="00911F2E"/>
    <w:rsid w:val="00922BC8"/>
    <w:rsid w:val="00924746"/>
    <w:rsid w:val="00932B5B"/>
    <w:rsid w:val="0094753F"/>
    <w:rsid w:val="00950846"/>
    <w:rsid w:val="00950D91"/>
    <w:rsid w:val="009539EE"/>
    <w:rsid w:val="00953E04"/>
    <w:rsid w:val="00960430"/>
    <w:rsid w:val="00967635"/>
    <w:rsid w:val="00972352"/>
    <w:rsid w:val="00980062"/>
    <w:rsid w:val="009879A8"/>
    <w:rsid w:val="009A54CE"/>
    <w:rsid w:val="009A6A94"/>
    <w:rsid w:val="009A7E31"/>
    <w:rsid w:val="009B1F41"/>
    <w:rsid w:val="009D370B"/>
    <w:rsid w:val="009D3FC6"/>
    <w:rsid w:val="009D6133"/>
    <w:rsid w:val="009E03A3"/>
    <w:rsid w:val="009E744E"/>
    <w:rsid w:val="009F45E9"/>
    <w:rsid w:val="009F747C"/>
    <w:rsid w:val="00A00EE8"/>
    <w:rsid w:val="00A0566C"/>
    <w:rsid w:val="00A05ED3"/>
    <w:rsid w:val="00A22110"/>
    <w:rsid w:val="00A25914"/>
    <w:rsid w:val="00A304AA"/>
    <w:rsid w:val="00A31E60"/>
    <w:rsid w:val="00A32C2E"/>
    <w:rsid w:val="00A33131"/>
    <w:rsid w:val="00A37DBC"/>
    <w:rsid w:val="00A43994"/>
    <w:rsid w:val="00A44071"/>
    <w:rsid w:val="00A4527F"/>
    <w:rsid w:val="00A47B33"/>
    <w:rsid w:val="00A72780"/>
    <w:rsid w:val="00A81DD3"/>
    <w:rsid w:val="00A865B7"/>
    <w:rsid w:val="00A9176D"/>
    <w:rsid w:val="00A96439"/>
    <w:rsid w:val="00A96EEC"/>
    <w:rsid w:val="00AA446C"/>
    <w:rsid w:val="00AA79DA"/>
    <w:rsid w:val="00AC39A6"/>
    <w:rsid w:val="00AC3CAA"/>
    <w:rsid w:val="00AC3CD9"/>
    <w:rsid w:val="00AC4D16"/>
    <w:rsid w:val="00AD25B9"/>
    <w:rsid w:val="00AD2AB8"/>
    <w:rsid w:val="00AD5C17"/>
    <w:rsid w:val="00AD7527"/>
    <w:rsid w:val="00AE2F5C"/>
    <w:rsid w:val="00AE464F"/>
    <w:rsid w:val="00AF084B"/>
    <w:rsid w:val="00AF2BA0"/>
    <w:rsid w:val="00AF35D6"/>
    <w:rsid w:val="00B1598A"/>
    <w:rsid w:val="00B205B0"/>
    <w:rsid w:val="00B23A4E"/>
    <w:rsid w:val="00B2738A"/>
    <w:rsid w:val="00B30F76"/>
    <w:rsid w:val="00B370AE"/>
    <w:rsid w:val="00B41867"/>
    <w:rsid w:val="00B5108B"/>
    <w:rsid w:val="00B51C97"/>
    <w:rsid w:val="00B529B2"/>
    <w:rsid w:val="00B5422A"/>
    <w:rsid w:val="00B5755B"/>
    <w:rsid w:val="00B722B5"/>
    <w:rsid w:val="00B73404"/>
    <w:rsid w:val="00B7449A"/>
    <w:rsid w:val="00B76B37"/>
    <w:rsid w:val="00B8505A"/>
    <w:rsid w:val="00B93208"/>
    <w:rsid w:val="00B9769A"/>
    <w:rsid w:val="00B97F6C"/>
    <w:rsid w:val="00BA07DA"/>
    <w:rsid w:val="00BA77B8"/>
    <w:rsid w:val="00BB06F0"/>
    <w:rsid w:val="00BB6146"/>
    <w:rsid w:val="00BC3AF8"/>
    <w:rsid w:val="00BC62C3"/>
    <w:rsid w:val="00BD17E7"/>
    <w:rsid w:val="00BD6051"/>
    <w:rsid w:val="00BE2EE4"/>
    <w:rsid w:val="00BE631D"/>
    <w:rsid w:val="00BF3054"/>
    <w:rsid w:val="00BF6228"/>
    <w:rsid w:val="00BF6324"/>
    <w:rsid w:val="00C142F0"/>
    <w:rsid w:val="00C20BC4"/>
    <w:rsid w:val="00C23603"/>
    <w:rsid w:val="00C37652"/>
    <w:rsid w:val="00C37F40"/>
    <w:rsid w:val="00C40549"/>
    <w:rsid w:val="00C41578"/>
    <w:rsid w:val="00C50045"/>
    <w:rsid w:val="00C607D8"/>
    <w:rsid w:val="00C61FA7"/>
    <w:rsid w:val="00C6546E"/>
    <w:rsid w:val="00C71485"/>
    <w:rsid w:val="00C720C9"/>
    <w:rsid w:val="00C72B50"/>
    <w:rsid w:val="00C805AB"/>
    <w:rsid w:val="00C86F3B"/>
    <w:rsid w:val="00C90B01"/>
    <w:rsid w:val="00CA0E0A"/>
    <w:rsid w:val="00CA1346"/>
    <w:rsid w:val="00CB2F5B"/>
    <w:rsid w:val="00CC6AD8"/>
    <w:rsid w:val="00CD5FFF"/>
    <w:rsid w:val="00CE7223"/>
    <w:rsid w:val="00CF209A"/>
    <w:rsid w:val="00CF4152"/>
    <w:rsid w:val="00CF5FF9"/>
    <w:rsid w:val="00CF7D15"/>
    <w:rsid w:val="00D03786"/>
    <w:rsid w:val="00D108C4"/>
    <w:rsid w:val="00D14F3E"/>
    <w:rsid w:val="00D21F7D"/>
    <w:rsid w:val="00D27139"/>
    <w:rsid w:val="00D3519C"/>
    <w:rsid w:val="00D378A9"/>
    <w:rsid w:val="00D410D2"/>
    <w:rsid w:val="00D43D06"/>
    <w:rsid w:val="00D46738"/>
    <w:rsid w:val="00D53DBF"/>
    <w:rsid w:val="00D559C8"/>
    <w:rsid w:val="00D62619"/>
    <w:rsid w:val="00D64576"/>
    <w:rsid w:val="00D7154D"/>
    <w:rsid w:val="00D730A7"/>
    <w:rsid w:val="00D75076"/>
    <w:rsid w:val="00D75137"/>
    <w:rsid w:val="00D83C2C"/>
    <w:rsid w:val="00D84774"/>
    <w:rsid w:val="00D85838"/>
    <w:rsid w:val="00D96120"/>
    <w:rsid w:val="00D964DE"/>
    <w:rsid w:val="00D96DAA"/>
    <w:rsid w:val="00DA0713"/>
    <w:rsid w:val="00DA32F5"/>
    <w:rsid w:val="00DA40BF"/>
    <w:rsid w:val="00DB21AC"/>
    <w:rsid w:val="00DB3CDC"/>
    <w:rsid w:val="00DB72DE"/>
    <w:rsid w:val="00DC16F9"/>
    <w:rsid w:val="00DC50FE"/>
    <w:rsid w:val="00DD1EF6"/>
    <w:rsid w:val="00DE374C"/>
    <w:rsid w:val="00DE3F33"/>
    <w:rsid w:val="00DE6412"/>
    <w:rsid w:val="00DF0E5E"/>
    <w:rsid w:val="00DF2F1B"/>
    <w:rsid w:val="00DF41D1"/>
    <w:rsid w:val="00DF4FC2"/>
    <w:rsid w:val="00E00268"/>
    <w:rsid w:val="00E00CD3"/>
    <w:rsid w:val="00E021F4"/>
    <w:rsid w:val="00E0372C"/>
    <w:rsid w:val="00E05085"/>
    <w:rsid w:val="00E21D5F"/>
    <w:rsid w:val="00E22932"/>
    <w:rsid w:val="00E22D4A"/>
    <w:rsid w:val="00E338E6"/>
    <w:rsid w:val="00E502B5"/>
    <w:rsid w:val="00E616F9"/>
    <w:rsid w:val="00E621CB"/>
    <w:rsid w:val="00E65CF9"/>
    <w:rsid w:val="00E674EA"/>
    <w:rsid w:val="00E705B7"/>
    <w:rsid w:val="00E74C07"/>
    <w:rsid w:val="00E81420"/>
    <w:rsid w:val="00E90930"/>
    <w:rsid w:val="00E94D02"/>
    <w:rsid w:val="00EA278C"/>
    <w:rsid w:val="00EB279A"/>
    <w:rsid w:val="00EC0A9F"/>
    <w:rsid w:val="00EC3616"/>
    <w:rsid w:val="00EC4B7B"/>
    <w:rsid w:val="00EC63AD"/>
    <w:rsid w:val="00ED1625"/>
    <w:rsid w:val="00EE6F27"/>
    <w:rsid w:val="00EF4CB3"/>
    <w:rsid w:val="00EF5CA4"/>
    <w:rsid w:val="00F00C5D"/>
    <w:rsid w:val="00F01ABA"/>
    <w:rsid w:val="00F02A39"/>
    <w:rsid w:val="00F07BAC"/>
    <w:rsid w:val="00F1014A"/>
    <w:rsid w:val="00F14EC6"/>
    <w:rsid w:val="00F168A2"/>
    <w:rsid w:val="00F20645"/>
    <w:rsid w:val="00F2303A"/>
    <w:rsid w:val="00F25DB1"/>
    <w:rsid w:val="00F3475B"/>
    <w:rsid w:val="00F3511E"/>
    <w:rsid w:val="00F557F0"/>
    <w:rsid w:val="00F71CF7"/>
    <w:rsid w:val="00F73F37"/>
    <w:rsid w:val="00F87CEC"/>
    <w:rsid w:val="00F901E5"/>
    <w:rsid w:val="00F95DE2"/>
    <w:rsid w:val="00F965B9"/>
    <w:rsid w:val="00FA0040"/>
    <w:rsid w:val="00FB5C68"/>
    <w:rsid w:val="00FC13BF"/>
    <w:rsid w:val="00FC5178"/>
    <w:rsid w:val="00FD2E17"/>
    <w:rsid w:val="00FD4E62"/>
    <w:rsid w:val="00FD67C8"/>
    <w:rsid w:val="00FE527D"/>
    <w:rsid w:val="00FE5911"/>
    <w:rsid w:val="00FF1BCB"/>
    <w:rsid w:val="00FF2FAF"/>
    <w:rsid w:val="00FF4957"/>
    <w:rsid w:val="00FF7A1B"/>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EE1B8"/>
  <w15:docId w15:val="{D5D592D0-0D88-4575-84A2-0312A0B37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19C"/>
    <w:rPr>
      <w:rFonts w:ascii="Calibri" w:eastAsia="Calibri" w:hAnsi="Calibri" w:cs="Times New Roman"/>
      <w:lang w:val="es-ES_tradnl"/>
    </w:rPr>
  </w:style>
  <w:style w:type="paragraph" w:styleId="Ttulo1">
    <w:name w:val="heading 1"/>
    <w:basedOn w:val="Normal"/>
    <w:next w:val="Normal"/>
    <w:link w:val="Ttulo1Car"/>
    <w:uiPriority w:val="9"/>
    <w:qFormat/>
    <w:rsid w:val="0018025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18025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D3519C"/>
  </w:style>
  <w:style w:type="paragraph" w:customStyle="1" w:styleId="Default">
    <w:name w:val="Default"/>
    <w:rsid w:val="00D3519C"/>
    <w:pPr>
      <w:autoSpaceDE w:val="0"/>
      <w:autoSpaceDN w:val="0"/>
      <w:adjustRightInd w:val="0"/>
      <w:spacing w:after="0" w:line="240" w:lineRule="auto"/>
    </w:pPr>
    <w:rPr>
      <w:rFonts w:ascii="Times New Roman" w:eastAsiaTheme="minorEastAsia" w:hAnsi="Times New Roman" w:cs="Times New Roman"/>
      <w:color w:val="000000"/>
      <w:sz w:val="24"/>
      <w:szCs w:val="24"/>
      <w:lang w:val="es-PE" w:eastAsia="es-PE"/>
    </w:rPr>
  </w:style>
  <w:style w:type="character" w:styleId="Hipervnculo">
    <w:name w:val="Hyperlink"/>
    <w:basedOn w:val="Fuentedeprrafopredeter"/>
    <w:uiPriority w:val="99"/>
    <w:unhideWhenUsed/>
    <w:rsid w:val="00F00C5D"/>
    <w:rPr>
      <w:color w:val="0000FF"/>
      <w:u w:val="single"/>
    </w:rPr>
  </w:style>
  <w:style w:type="paragraph" w:styleId="Prrafodelista">
    <w:name w:val="List Paragraph"/>
    <w:basedOn w:val="Normal"/>
    <w:uiPriority w:val="34"/>
    <w:qFormat/>
    <w:rsid w:val="00A43994"/>
    <w:pPr>
      <w:ind w:left="720"/>
      <w:contextualSpacing/>
    </w:pPr>
  </w:style>
  <w:style w:type="paragraph" w:styleId="Encabezado">
    <w:name w:val="header"/>
    <w:basedOn w:val="Normal"/>
    <w:link w:val="EncabezadoCar"/>
    <w:uiPriority w:val="99"/>
    <w:unhideWhenUsed/>
    <w:rsid w:val="00FB5C6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FB5C68"/>
    <w:rPr>
      <w:rFonts w:ascii="Calibri" w:eastAsia="Calibri" w:hAnsi="Calibri" w:cs="Times New Roman"/>
      <w:lang w:val="es-ES_tradnl"/>
    </w:rPr>
  </w:style>
  <w:style w:type="paragraph" w:styleId="Piedepgina">
    <w:name w:val="footer"/>
    <w:basedOn w:val="Normal"/>
    <w:link w:val="PiedepginaCar"/>
    <w:uiPriority w:val="99"/>
    <w:unhideWhenUsed/>
    <w:rsid w:val="00FB5C6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FB5C68"/>
    <w:rPr>
      <w:rFonts w:ascii="Calibri" w:eastAsia="Calibri" w:hAnsi="Calibri" w:cs="Times New Roman"/>
      <w:lang w:val="es-ES_tradnl"/>
    </w:rPr>
  </w:style>
  <w:style w:type="paragraph" w:styleId="Sinespaciado">
    <w:name w:val="No Spacing"/>
    <w:uiPriority w:val="1"/>
    <w:qFormat/>
    <w:rsid w:val="00180258"/>
    <w:pPr>
      <w:spacing w:after="0" w:line="240" w:lineRule="auto"/>
    </w:pPr>
    <w:rPr>
      <w:rFonts w:ascii="Calibri" w:eastAsia="Calibri" w:hAnsi="Calibri" w:cs="Times New Roman"/>
      <w:lang w:val="es-ES_tradnl"/>
    </w:rPr>
  </w:style>
  <w:style w:type="character" w:customStyle="1" w:styleId="Ttulo1Car">
    <w:name w:val="Título 1 Car"/>
    <w:basedOn w:val="Fuentedeprrafopredeter"/>
    <w:link w:val="Ttulo1"/>
    <w:uiPriority w:val="9"/>
    <w:rsid w:val="00180258"/>
    <w:rPr>
      <w:rFonts w:asciiTheme="majorHAnsi" w:eastAsiaTheme="majorEastAsia" w:hAnsiTheme="majorHAnsi" w:cstheme="majorBidi"/>
      <w:color w:val="2E74B5" w:themeColor="accent1" w:themeShade="BF"/>
      <w:sz w:val="32"/>
      <w:szCs w:val="32"/>
      <w:lang w:val="es-ES_tradnl"/>
    </w:rPr>
  </w:style>
  <w:style w:type="character" w:customStyle="1" w:styleId="Ttulo2Car">
    <w:name w:val="Título 2 Car"/>
    <w:basedOn w:val="Fuentedeprrafopredeter"/>
    <w:link w:val="Ttulo2"/>
    <w:uiPriority w:val="9"/>
    <w:rsid w:val="00180258"/>
    <w:rPr>
      <w:rFonts w:asciiTheme="majorHAnsi" w:eastAsiaTheme="majorEastAsia" w:hAnsiTheme="majorHAnsi" w:cstheme="majorBidi"/>
      <w:color w:val="2E74B5" w:themeColor="accent1" w:themeShade="BF"/>
      <w:sz w:val="26"/>
      <w:szCs w:val="26"/>
      <w:lang w:val="es-ES_tradnl"/>
    </w:rPr>
  </w:style>
  <w:style w:type="character" w:styleId="Textoennegrita">
    <w:name w:val="Strong"/>
    <w:basedOn w:val="Fuentedeprrafopredeter"/>
    <w:uiPriority w:val="22"/>
    <w:qFormat/>
    <w:rsid w:val="00D21F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6667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3-3242-5102" TargetMode="External"/><Relationship Id="rId13" Type="http://schemas.openxmlformats.org/officeDocument/2006/relationships/hyperlink" Target="mailto:rolandote1986@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rcid.org/0000-0003-3437-870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rcid.org/0000-0003-3439-742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orcid.org/0000-0003-3350-374X" TargetMode="External"/><Relationship Id="rId4" Type="http://schemas.openxmlformats.org/officeDocument/2006/relationships/settings" Target="settings.xml"/><Relationship Id="rId9" Type="http://schemas.openxmlformats.org/officeDocument/2006/relationships/hyperlink" Target="https://orcid.org/0000-0002-8059-7251"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243249-8A23-453A-8222-431656D33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2000</TotalTime>
  <Pages>15</Pages>
  <Words>4269</Words>
  <Characters>24339</Characters>
  <Application>Microsoft Office Word</Application>
  <DocSecurity>0</DocSecurity>
  <Lines>202</Lines>
  <Paragraphs>57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medicoç</dc:creator>
  <cp:keywords/>
  <dc:description/>
  <cp:lastModifiedBy>higiene</cp:lastModifiedBy>
  <cp:revision>423</cp:revision>
  <dcterms:created xsi:type="dcterms:W3CDTF">2018-04-20T18:14:00Z</dcterms:created>
  <dcterms:modified xsi:type="dcterms:W3CDTF">2025-09-08T14:11:00Z</dcterms:modified>
</cp:coreProperties>
</file>