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5B" w:rsidRPr="008F345B" w:rsidRDefault="008F345B" w:rsidP="00F25E5C">
      <w:pPr>
        <w:spacing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  <w:r w:rsidRPr="008F345B">
        <w:rPr>
          <w:rFonts w:ascii="Times New Roman" w:hAnsi="Times New Roman"/>
          <w:sz w:val="24"/>
          <w:szCs w:val="24"/>
          <w:lang w:val="es-ES"/>
        </w:rPr>
        <w:t>Artículo original</w:t>
      </w:r>
    </w:p>
    <w:p w:rsidR="00131631" w:rsidRPr="00C44EF3" w:rsidRDefault="00761ACB" w:rsidP="00F25E5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>Epidemiología</w:t>
      </w:r>
      <w:r w:rsidR="00131631" w:rsidRPr="00C44EF3">
        <w:rPr>
          <w:rFonts w:ascii="Times New Roman" w:hAnsi="Times New Roman"/>
          <w:b/>
          <w:sz w:val="28"/>
          <w:szCs w:val="28"/>
          <w:lang w:val="es-ES"/>
        </w:rPr>
        <w:t xml:space="preserve"> de la infertilidad femenina en </w:t>
      </w:r>
      <w:r w:rsidR="00D84A3F" w:rsidRPr="00C44EF3">
        <w:rPr>
          <w:rFonts w:ascii="Times New Roman" w:hAnsi="Times New Roman"/>
          <w:b/>
          <w:sz w:val="28"/>
          <w:szCs w:val="28"/>
          <w:lang w:val="es-ES"/>
        </w:rPr>
        <w:t xml:space="preserve">la </w:t>
      </w:r>
      <w:r w:rsidR="00114C05" w:rsidRPr="00C44EF3">
        <w:rPr>
          <w:rFonts w:ascii="Times New Roman" w:hAnsi="Times New Roman"/>
          <w:b/>
          <w:sz w:val="28"/>
          <w:szCs w:val="28"/>
          <w:lang w:val="es-ES"/>
        </w:rPr>
        <w:t xml:space="preserve">provincia </w:t>
      </w:r>
      <w:r w:rsidR="009A3D68">
        <w:rPr>
          <w:rFonts w:ascii="Times New Roman" w:hAnsi="Times New Roman"/>
          <w:b/>
          <w:sz w:val="28"/>
          <w:szCs w:val="28"/>
          <w:lang w:val="es-ES"/>
        </w:rPr>
        <w:t xml:space="preserve">de </w:t>
      </w:r>
      <w:r w:rsidR="00114C05" w:rsidRPr="00C44EF3">
        <w:rPr>
          <w:rFonts w:ascii="Times New Roman" w:hAnsi="Times New Roman"/>
          <w:b/>
          <w:sz w:val="28"/>
          <w:szCs w:val="28"/>
          <w:lang w:val="es-ES"/>
        </w:rPr>
        <w:t>Camagüey</w:t>
      </w:r>
    </w:p>
    <w:p w:rsidR="00C80BDB" w:rsidRPr="00F25E5C" w:rsidRDefault="00761ACB" w:rsidP="00F25E5C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Epidemiology</w:t>
      </w:r>
      <w:r w:rsidR="00C80BDB" w:rsidRPr="00F25E5C">
        <w:rPr>
          <w:rFonts w:ascii="Times New Roman" w:hAnsi="Times New Roman"/>
          <w:sz w:val="28"/>
          <w:szCs w:val="28"/>
          <w:lang w:val="en-US"/>
        </w:rPr>
        <w:t xml:space="preserve"> of female i</w:t>
      </w:r>
      <w:r w:rsidR="00AB3B46" w:rsidRPr="00F25E5C">
        <w:rPr>
          <w:rFonts w:ascii="Times New Roman" w:hAnsi="Times New Roman"/>
          <w:sz w:val="28"/>
          <w:szCs w:val="28"/>
          <w:lang w:val="en-US"/>
        </w:rPr>
        <w:t xml:space="preserve">nfertility in </w:t>
      </w:r>
      <w:r w:rsidR="00016BA7" w:rsidRPr="00F25E5C">
        <w:rPr>
          <w:rFonts w:ascii="Times New Roman" w:hAnsi="Times New Roman"/>
          <w:sz w:val="28"/>
          <w:szCs w:val="28"/>
          <w:lang w:val="en-US"/>
        </w:rPr>
        <w:t>the province o</w:t>
      </w:r>
      <w:r w:rsidR="00962068" w:rsidRPr="00F25E5C">
        <w:rPr>
          <w:rFonts w:ascii="Times New Roman" w:hAnsi="Times New Roman"/>
          <w:sz w:val="28"/>
          <w:szCs w:val="28"/>
          <w:lang w:val="en-US"/>
        </w:rPr>
        <w:t>f Camaguey</w:t>
      </w:r>
    </w:p>
    <w:p w:rsidR="00131631" w:rsidRPr="00EA706B" w:rsidRDefault="00131631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311FA" w:rsidRPr="007C5340" w:rsidRDefault="009311FA" w:rsidP="00657D3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sz w:val="24"/>
          <w:szCs w:val="24"/>
          <w:lang w:val="es-ES"/>
        </w:rPr>
        <w:t>Rolando Rodríguez Puga</w:t>
      </w:r>
      <w:r w:rsidR="000E5F91" w:rsidRPr="007C534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Pr="007C5340">
        <w:rPr>
          <w:rFonts w:ascii="Times New Roman" w:hAnsi="Times New Roman"/>
          <w:sz w:val="24"/>
          <w:szCs w:val="24"/>
          <w:vertAlign w:val="superscript"/>
          <w:lang w:val="es-ES"/>
        </w:rPr>
        <w:t>*</w:t>
      </w:r>
      <w:r w:rsidRPr="007C5340">
        <w:rPr>
          <w:rFonts w:ascii="Times New Roman" w:hAnsi="Times New Roman"/>
          <w:sz w:val="24"/>
          <w:szCs w:val="24"/>
          <w:lang w:val="es-ES"/>
        </w:rPr>
        <w:t xml:space="preserve">   </w:t>
      </w:r>
      <w:hyperlink r:id="rId5" w:history="1">
        <w:r w:rsidR="00962068" w:rsidRPr="007C5340">
          <w:rPr>
            <w:rStyle w:val="Hipervnculo"/>
            <w:rFonts w:ascii="Times New Roman" w:hAnsi="Times New Roman"/>
            <w:sz w:val="24"/>
            <w:szCs w:val="24"/>
            <w:lang w:val="es-ES"/>
          </w:rPr>
          <w:t>https://orcid.org/0000-0003-3350-374X</w:t>
        </w:r>
      </w:hyperlink>
    </w:p>
    <w:p w:rsidR="00184877" w:rsidRPr="007C5340" w:rsidRDefault="00184877" w:rsidP="00657D3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sz w:val="24"/>
          <w:szCs w:val="24"/>
          <w:lang w:val="es-ES"/>
        </w:rPr>
        <w:t>Yoánderson Pérez Díaz</w:t>
      </w:r>
      <w:r w:rsidRPr="007C534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Pr="007C5340">
        <w:rPr>
          <w:rFonts w:ascii="Times New Roman" w:hAnsi="Times New Roman"/>
          <w:sz w:val="24"/>
          <w:szCs w:val="24"/>
          <w:lang w:val="es-ES"/>
        </w:rPr>
        <w:t xml:space="preserve">   </w:t>
      </w:r>
      <w:hyperlink r:id="rId6" w:history="1">
        <w:r w:rsidR="00962068" w:rsidRPr="007C5340">
          <w:rPr>
            <w:rStyle w:val="Hipervnculo"/>
            <w:rFonts w:ascii="Times New Roman" w:hAnsi="Times New Roman"/>
            <w:sz w:val="24"/>
            <w:szCs w:val="24"/>
            <w:lang w:val="es-ES"/>
          </w:rPr>
          <w:t>https://orcid.org/0000-0003-3439-7424</w:t>
        </w:r>
      </w:hyperlink>
    </w:p>
    <w:p w:rsidR="001A0379" w:rsidRPr="007C5340" w:rsidRDefault="00486C80" w:rsidP="00657D3A">
      <w:pPr>
        <w:suppressAutoHyphens/>
        <w:spacing w:after="0" w:line="360" w:lineRule="auto"/>
        <w:ind w:right="176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sz w:val="24"/>
          <w:szCs w:val="24"/>
          <w:lang w:val="es-ES"/>
        </w:rPr>
        <w:t>Yanira González Ronquillo</w:t>
      </w:r>
      <w:r w:rsidR="00F25E5C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="001C677A" w:rsidRPr="007C5340"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      </w:t>
      </w:r>
      <w:hyperlink r:id="rId7" w:history="1">
        <w:r w:rsidR="00CF6FDE" w:rsidRPr="007C5340">
          <w:rPr>
            <w:rStyle w:val="Hipervnculo"/>
            <w:rFonts w:ascii="Times New Roman" w:hAnsi="Times New Roman"/>
            <w:sz w:val="24"/>
            <w:szCs w:val="24"/>
            <w:lang w:val="es-ES"/>
          </w:rPr>
          <w:t>https://orcid.org/0000-0002-2177-4297</w:t>
        </w:r>
      </w:hyperlink>
    </w:p>
    <w:p w:rsidR="00CF6FDE" w:rsidRPr="007C5340" w:rsidRDefault="00CF6FDE" w:rsidP="00657D3A">
      <w:pPr>
        <w:suppressAutoHyphens/>
        <w:spacing w:after="0" w:line="360" w:lineRule="auto"/>
        <w:ind w:right="176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77556" w:rsidRDefault="000E5F91" w:rsidP="00657D3A">
      <w:pPr>
        <w:suppressAutoHyphens/>
        <w:spacing w:after="0" w:line="360" w:lineRule="auto"/>
        <w:ind w:right="176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="00FD5DBC">
        <w:rPr>
          <w:rFonts w:ascii="Times New Roman" w:hAnsi="Times New Roman"/>
          <w:sz w:val="24"/>
          <w:szCs w:val="24"/>
          <w:lang w:val="es-ES"/>
        </w:rPr>
        <w:t>H</w:t>
      </w:r>
      <w:r w:rsidRPr="007C5340">
        <w:rPr>
          <w:rFonts w:ascii="Times New Roman" w:hAnsi="Times New Roman"/>
          <w:sz w:val="24"/>
          <w:szCs w:val="24"/>
          <w:lang w:val="es-ES"/>
        </w:rPr>
        <w:t xml:space="preserve">ospital Pediátrico Docente Provincial </w:t>
      </w:r>
      <w:r w:rsidR="007102C9" w:rsidRPr="007C5340">
        <w:rPr>
          <w:rFonts w:ascii="Times New Roman" w:hAnsi="Times New Roman"/>
          <w:sz w:val="24"/>
          <w:szCs w:val="24"/>
          <w:lang w:val="es-ES"/>
        </w:rPr>
        <w:t>“</w:t>
      </w:r>
      <w:r w:rsidRPr="007C5340">
        <w:rPr>
          <w:rFonts w:ascii="Times New Roman" w:hAnsi="Times New Roman"/>
          <w:sz w:val="24"/>
          <w:szCs w:val="24"/>
          <w:lang w:val="es-ES"/>
        </w:rPr>
        <w:t>Dr. Eduardo Agramonte Piña</w:t>
      </w:r>
      <w:r w:rsidR="00CF6FDE" w:rsidRPr="007C5340">
        <w:rPr>
          <w:rFonts w:ascii="Times New Roman" w:hAnsi="Times New Roman"/>
          <w:sz w:val="24"/>
          <w:szCs w:val="24"/>
          <w:lang w:val="es-ES"/>
        </w:rPr>
        <w:t>”.</w:t>
      </w:r>
      <w:r w:rsidR="00C44EF3">
        <w:rPr>
          <w:rFonts w:ascii="Times New Roman" w:hAnsi="Times New Roman"/>
          <w:sz w:val="24"/>
          <w:szCs w:val="24"/>
          <w:lang w:val="es-ES"/>
        </w:rPr>
        <w:t xml:space="preserve"> Departamento de Higiene y Epidemiología.</w:t>
      </w:r>
      <w:r w:rsidR="00CF6FDE" w:rsidRPr="007C5340">
        <w:rPr>
          <w:rFonts w:ascii="Times New Roman" w:hAnsi="Times New Roman"/>
          <w:sz w:val="24"/>
          <w:szCs w:val="24"/>
          <w:lang w:val="es-ES"/>
        </w:rPr>
        <w:t xml:space="preserve"> Camagüey, Cuba.</w:t>
      </w:r>
      <w:r w:rsidR="00B77556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B77556" w:rsidRDefault="00F25E5C" w:rsidP="00B77556">
      <w:pPr>
        <w:suppressAutoHyphens/>
        <w:spacing w:after="0" w:line="360" w:lineRule="auto"/>
        <w:ind w:right="176"/>
        <w:jc w:val="both"/>
        <w:rPr>
          <w:rFonts w:ascii="Times New Roman" w:hAnsi="Times New Roman"/>
          <w:sz w:val="24"/>
          <w:szCs w:val="24"/>
          <w:lang w:val="es-ES"/>
        </w:rPr>
      </w:pPr>
      <w:r w:rsidRPr="00F25E5C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="00FD5DBC">
        <w:rPr>
          <w:rFonts w:ascii="Times New Roman" w:hAnsi="Times New Roman"/>
          <w:sz w:val="24"/>
          <w:szCs w:val="24"/>
          <w:lang w:val="es-ES"/>
        </w:rPr>
        <w:t>U</w:t>
      </w:r>
      <w:r w:rsidR="00F562C9" w:rsidRPr="007C5340">
        <w:rPr>
          <w:rFonts w:ascii="Times New Roman" w:hAnsi="Times New Roman"/>
          <w:sz w:val="24"/>
          <w:szCs w:val="24"/>
          <w:lang w:val="es-ES"/>
        </w:rPr>
        <w:t>niversidad de Ciencias Médicas “Dr. Carlos J. Finlay</w:t>
      </w:r>
      <w:r w:rsidR="00CF6FDE" w:rsidRPr="007C5340">
        <w:rPr>
          <w:rFonts w:ascii="Times New Roman" w:hAnsi="Times New Roman"/>
          <w:sz w:val="24"/>
          <w:szCs w:val="24"/>
          <w:lang w:val="es-ES"/>
        </w:rPr>
        <w:t xml:space="preserve">”. </w:t>
      </w:r>
      <w:r w:rsidR="00C44EF3">
        <w:rPr>
          <w:rFonts w:ascii="Times New Roman" w:hAnsi="Times New Roman"/>
          <w:sz w:val="24"/>
          <w:szCs w:val="24"/>
          <w:lang w:val="es-ES"/>
        </w:rPr>
        <w:t xml:space="preserve">Departamento de Salud Pública. </w:t>
      </w:r>
      <w:r w:rsidR="009F70C3" w:rsidRPr="007C5340">
        <w:rPr>
          <w:rFonts w:ascii="Times New Roman" w:hAnsi="Times New Roman"/>
          <w:sz w:val="24"/>
          <w:szCs w:val="24"/>
          <w:lang w:val="es-ES"/>
        </w:rPr>
        <w:t>Camagüey</w:t>
      </w:r>
      <w:r w:rsidR="00CF6FDE" w:rsidRPr="007C5340">
        <w:rPr>
          <w:rFonts w:ascii="Times New Roman" w:hAnsi="Times New Roman"/>
          <w:sz w:val="24"/>
          <w:szCs w:val="24"/>
          <w:lang w:val="es-ES"/>
        </w:rPr>
        <w:t>, Cuba.</w:t>
      </w:r>
    </w:p>
    <w:p w:rsidR="00F25E5C" w:rsidRPr="00B77556" w:rsidRDefault="00F25E5C" w:rsidP="00B77556">
      <w:pPr>
        <w:suppressAutoHyphens/>
        <w:spacing w:after="0" w:line="360" w:lineRule="auto"/>
        <w:ind w:right="176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CF6FDE" w:rsidRDefault="009311FA" w:rsidP="00657D3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sz w:val="24"/>
          <w:szCs w:val="24"/>
          <w:vertAlign w:val="superscript"/>
          <w:lang w:val="es-ES"/>
        </w:rPr>
        <w:t>*</w:t>
      </w:r>
      <w:r w:rsidRPr="007C5340">
        <w:rPr>
          <w:rFonts w:ascii="Times New Roman" w:hAnsi="Times New Roman"/>
          <w:sz w:val="24"/>
          <w:szCs w:val="24"/>
          <w:lang w:val="es-ES"/>
        </w:rPr>
        <w:t xml:space="preserve">Autor para la correspondencia: </w:t>
      </w:r>
      <w:hyperlink r:id="rId8" w:history="1">
        <w:r w:rsidR="00CF6FDE" w:rsidRPr="007C5340">
          <w:rPr>
            <w:rStyle w:val="Hipervnculo"/>
            <w:rFonts w:ascii="Times New Roman" w:hAnsi="Times New Roman"/>
            <w:sz w:val="24"/>
            <w:szCs w:val="24"/>
            <w:lang w:val="es-ES"/>
          </w:rPr>
          <w:t>rolandote1986@gmail.com</w:t>
        </w:r>
      </w:hyperlink>
    </w:p>
    <w:p w:rsidR="00F25E5C" w:rsidRPr="00F25E5C" w:rsidRDefault="00F25E5C" w:rsidP="00657D3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C3E9F" w:rsidRPr="007C5340" w:rsidRDefault="00F25E5C" w:rsidP="00657D3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b/>
          <w:sz w:val="24"/>
          <w:szCs w:val="24"/>
          <w:lang w:val="es-ES"/>
        </w:rPr>
        <w:t>RESUMEN</w:t>
      </w:r>
    </w:p>
    <w:p w:rsidR="009779BB" w:rsidRPr="007C5340" w:rsidRDefault="00C44EF3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Fundamento</w:t>
      </w:r>
      <w:r w:rsidR="00BC3E9F" w:rsidRPr="007C5340">
        <w:rPr>
          <w:rFonts w:ascii="Times New Roman" w:hAnsi="Times New Roman"/>
          <w:b/>
          <w:sz w:val="24"/>
          <w:szCs w:val="24"/>
          <w:lang w:val="es-ES"/>
        </w:rPr>
        <w:t>:</w:t>
      </w:r>
      <w:r w:rsidR="00842C02" w:rsidRPr="007C5340">
        <w:rPr>
          <w:rFonts w:ascii="Times New Roman" w:hAnsi="Times New Roman"/>
          <w:sz w:val="24"/>
          <w:szCs w:val="24"/>
          <w:lang w:val="es-ES"/>
        </w:rPr>
        <w:t xml:space="preserve"> I</w:t>
      </w:r>
      <w:r w:rsidR="00227521" w:rsidRPr="007C5340">
        <w:rPr>
          <w:rFonts w:ascii="Times New Roman" w:hAnsi="Times New Roman"/>
          <w:sz w:val="24"/>
          <w:szCs w:val="24"/>
          <w:lang w:val="es-ES"/>
        </w:rPr>
        <w:t>nfertilidad femenina es un término utilizado para referirse a una mujer que no ha podido quedar embarazada después de haberlo intentado por lo menos por un añ</w:t>
      </w:r>
      <w:r w:rsidR="000E5A26" w:rsidRPr="007C5340">
        <w:rPr>
          <w:rFonts w:ascii="Times New Roman" w:hAnsi="Times New Roman"/>
          <w:sz w:val="24"/>
          <w:szCs w:val="24"/>
          <w:lang w:val="es-ES"/>
        </w:rPr>
        <w:t>o al sostener</w:t>
      </w:r>
      <w:r w:rsidR="00227521" w:rsidRPr="007C5340">
        <w:rPr>
          <w:rFonts w:ascii="Times New Roman" w:hAnsi="Times New Roman"/>
          <w:sz w:val="24"/>
          <w:szCs w:val="24"/>
          <w:lang w:val="es-ES"/>
        </w:rPr>
        <w:t xml:space="preserve"> relaciones sexuales desprotegidas</w:t>
      </w:r>
      <w:r w:rsidR="003209BB" w:rsidRPr="007C5340">
        <w:rPr>
          <w:rFonts w:ascii="Times New Roman" w:hAnsi="Times New Roman"/>
          <w:sz w:val="24"/>
          <w:szCs w:val="24"/>
          <w:lang w:val="es-ES"/>
        </w:rPr>
        <w:t>.</w:t>
      </w:r>
    </w:p>
    <w:p w:rsidR="009779BB" w:rsidRPr="007C5340" w:rsidRDefault="00BC3E9F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b/>
          <w:sz w:val="24"/>
          <w:szCs w:val="24"/>
          <w:lang w:val="es-ES"/>
        </w:rPr>
        <w:t>Objetivo:</w:t>
      </w:r>
      <w:r w:rsidR="00842C02" w:rsidRPr="007C5340">
        <w:rPr>
          <w:rFonts w:ascii="Times New Roman" w:hAnsi="Times New Roman"/>
          <w:sz w:val="24"/>
          <w:szCs w:val="24"/>
          <w:lang w:val="es-ES"/>
        </w:rPr>
        <w:t xml:space="preserve"> C</w:t>
      </w:r>
      <w:r w:rsidR="006206BF" w:rsidRPr="007C5340">
        <w:rPr>
          <w:rFonts w:ascii="Times New Roman" w:hAnsi="Times New Roman"/>
          <w:sz w:val="24"/>
          <w:szCs w:val="24"/>
          <w:lang w:val="es-ES"/>
        </w:rPr>
        <w:t>aracterizar algunas variables</w:t>
      </w:r>
      <w:r w:rsidR="00567026" w:rsidRPr="007C5340">
        <w:rPr>
          <w:rFonts w:ascii="Times New Roman" w:hAnsi="Times New Roman"/>
          <w:sz w:val="24"/>
          <w:szCs w:val="24"/>
          <w:lang w:val="es-ES"/>
        </w:rPr>
        <w:t xml:space="preserve"> socio-epidemiológicas de la infertilidad femenina en la provincia Camagüey</w:t>
      </w:r>
      <w:r w:rsidRPr="007C5340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9779BB" w:rsidRPr="007C5340" w:rsidRDefault="00BC3E9F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b/>
          <w:sz w:val="24"/>
          <w:szCs w:val="24"/>
          <w:lang w:val="es-ES"/>
        </w:rPr>
        <w:t>Método</w:t>
      </w:r>
      <w:r w:rsidR="00FF3793">
        <w:rPr>
          <w:rFonts w:ascii="Times New Roman" w:hAnsi="Times New Roman"/>
          <w:b/>
          <w:sz w:val="24"/>
          <w:szCs w:val="24"/>
          <w:lang w:val="es-ES"/>
        </w:rPr>
        <w:t>s</w:t>
      </w:r>
      <w:r w:rsidRPr="007C5340">
        <w:rPr>
          <w:rFonts w:ascii="Times New Roman" w:hAnsi="Times New Roman"/>
          <w:b/>
          <w:sz w:val="24"/>
          <w:szCs w:val="24"/>
          <w:lang w:val="es-ES"/>
        </w:rPr>
        <w:t>:</w:t>
      </w:r>
      <w:r w:rsidR="00D13275" w:rsidRPr="007C5340">
        <w:rPr>
          <w:rFonts w:ascii="Times New Roman" w:hAnsi="Times New Roman"/>
          <w:sz w:val="24"/>
          <w:szCs w:val="24"/>
          <w:lang w:val="es-ES"/>
        </w:rPr>
        <w:t xml:space="preserve"> E</w:t>
      </w:r>
      <w:r w:rsidR="00EE23C1" w:rsidRPr="007C5340">
        <w:rPr>
          <w:rFonts w:ascii="Times New Roman" w:hAnsi="Times New Roman"/>
          <w:sz w:val="24"/>
          <w:szCs w:val="24"/>
          <w:lang w:val="es-ES"/>
        </w:rPr>
        <w:t>studio observacional descriptivo, transversal, realizado e</w:t>
      </w:r>
      <w:r w:rsidR="009054E2" w:rsidRPr="007C5340">
        <w:rPr>
          <w:rFonts w:ascii="Times New Roman" w:hAnsi="Times New Roman"/>
          <w:sz w:val="24"/>
          <w:szCs w:val="24"/>
          <w:lang w:val="es-ES"/>
        </w:rPr>
        <w:t>n el Hospital Materno</w:t>
      </w:r>
      <w:r w:rsidR="00DD61F2" w:rsidRPr="007C5340">
        <w:rPr>
          <w:rFonts w:ascii="Times New Roman" w:hAnsi="Times New Roman"/>
          <w:sz w:val="24"/>
          <w:szCs w:val="24"/>
          <w:lang w:val="es-ES"/>
        </w:rPr>
        <w:t xml:space="preserve"> Provincial de</w:t>
      </w:r>
      <w:r w:rsidR="00EE23C1" w:rsidRPr="007C5340">
        <w:rPr>
          <w:rFonts w:ascii="Times New Roman" w:hAnsi="Times New Roman"/>
          <w:sz w:val="24"/>
          <w:szCs w:val="24"/>
          <w:lang w:val="es-ES"/>
        </w:rPr>
        <w:t xml:space="preserve"> C</w:t>
      </w:r>
      <w:r w:rsidR="009054E2" w:rsidRPr="007C5340">
        <w:rPr>
          <w:rFonts w:ascii="Times New Roman" w:hAnsi="Times New Roman"/>
          <w:sz w:val="24"/>
          <w:szCs w:val="24"/>
          <w:lang w:val="es-ES"/>
        </w:rPr>
        <w:t>amagüey durante el año 2021</w:t>
      </w:r>
      <w:r w:rsidR="00EE23C1" w:rsidRPr="007C5340">
        <w:rPr>
          <w:rFonts w:ascii="Times New Roman" w:hAnsi="Times New Roman"/>
          <w:sz w:val="24"/>
          <w:szCs w:val="24"/>
          <w:lang w:val="es-ES"/>
        </w:rPr>
        <w:t>. El univer</w:t>
      </w:r>
      <w:r w:rsidR="00FC1129" w:rsidRPr="007C5340">
        <w:rPr>
          <w:rFonts w:ascii="Times New Roman" w:hAnsi="Times New Roman"/>
          <w:sz w:val="24"/>
          <w:szCs w:val="24"/>
          <w:lang w:val="es-ES"/>
        </w:rPr>
        <w:t xml:space="preserve">so estuvo constituido por </w:t>
      </w:r>
      <w:r w:rsidR="00A77129" w:rsidRPr="007C5340">
        <w:rPr>
          <w:rFonts w:ascii="Times New Roman" w:hAnsi="Times New Roman"/>
          <w:sz w:val="24"/>
          <w:szCs w:val="24"/>
          <w:lang w:val="es-ES"/>
        </w:rPr>
        <w:t>304</w:t>
      </w:r>
      <w:r w:rsidR="00EE23C1" w:rsidRPr="007C5340">
        <w:rPr>
          <w:rFonts w:ascii="Times New Roman" w:hAnsi="Times New Roman"/>
          <w:sz w:val="24"/>
          <w:szCs w:val="24"/>
          <w:lang w:val="es-ES"/>
        </w:rPr>
        <w:t xml:space="preserve"> pacientes con diagn</w:t>
      </w:r>
      <w:r w:rsidR="00A77129" w:rsidRPr="007C5340">
        <w:rPr>
          <w:rFonts w:ascii="Times New Roman" w:hAnsi="Times New Roman"/>
          <w:sz w:val="24"/>
          <w:szCs w:val="24"/>
          <w:lang w:val="es-ES"/>
        </w:rPr>
        <w:t>óstico de infertilidad</w:t>
      </w:r>
      <w:r w:rsidR="00EE23C1" w:rsidRPr="007C5340">
        <w:rPr>
          <w:rFonts w:ascii="Times New Roman" w:hAnsi="Times New Roman"/>
          <w:sz w:val="24"/>
          <w:szCs w:val="24"/>
          <w:lang w:val="es-ES"/>
        </w:rPr>
        <w:t>. Las varia</w:t>
      </w:r>
      <w:r w:rsidR="00CB1A52" w:rsidRPr="007C5340">
        <w:rPr>
          <w:rFonts w:ascii="Times New Roman" w:hAnsi="Times New Roman"/>
          <w:sz w:val="24"/>
          <w:szCs w:val="24"/>
          <w:lang w:val="es-ES"/>
        </w:rPr>
        <w:t>bles estud</w:t>
      </w:r>
      <w:r w:rsidR="0090336C" w:rsidRPr="007C5340">
        <w:rPr>
          <w:rFonts w:ascii="Times New Roman" w:hAnsi="Times New Roman"/>
          <w:sz w:val="24"/>
          <w:szCs w:val="24"/>
          <w:lang w:val="es-ES"/>
        </w:rPr>
        <w:t xml:space="preserve">iadas incluyeron: grupo etario, </w:t>
      </w:r>
      <w:r w:rsidR="00CB1A52" w:rsidRPr="007C5340">
        <w:rPr>
          <w:rFonts w:ascii="Times New Roman" w:hAnsi="Times New Roman"/>
          <w:sz w:val="24"/>
          <w:szCs w:val="24"/>
          <w:lang w:val="es-ES"/>
        </w:rPr>
        <w:t>ti</w:t>
      </w:r>
      <w:r w:rsidR="00B73552" w:rsidRPr="007C5340">
        <w:rPr>
          <w:rFonts w:ascii="Times New Roman" w:hAnsi="Times New Roman"/>
          <w:sz w:val="24"/>
          <w:szCs w:val="24"/>
          <w:lang w:val="es-ES"/>
        </w:rPr>
        <w:t>po de infertilidad, municipio de origen, tasa de incidencia</w:t>
      </w:r>
      <w:r w:rsidR="00CB1A52" w:rsidRPr="007C5340">
        <w:rPr>
          <w:rFonts w:ascii="Times New Roman" w:hAnsi="Times New Roman"/>
          <w:sz w:val="24"/>
          <w:szCs w:val="24"/>
          <w:lang w:val="es-ES"/>
        </w:rPr>
        <w:t xml:space="preserve">, nivel educacional, hábitos </w:t>
      </w:r>
      <w:r w:rsidR="00CB1A52" w:rsidRPr="007C5340">
        <w:rPr>
          <w:rFonts w:ascii="Times New Roman" w:hAnsi="Times New Roman"/>
          <w:sz w:val="24"/>
          <w:szCs w:val="24"/>
          <w:lang w:val="es-ES"/>
        </w:rPr>
        <w:lastRenderedPageBreak/>
        <w:t>tóx</w:t>
      </w:r>
      <w:r w:rsidR="008B1A07" w:rsidRPr="007C5340">
        <w:rPr>
          <w:rFonts w:ascii="Times New Roman" w:hAnsi="Times New Roman"/>
          <w:sz w:val="24"/>
          <w:szCs w:val="24"/>
          <w:lang w:val="es-ES"/>
        </w:rPr>
        <w:t xml:space="preserve">icos, factores de riesgo </w:t>
      </w:r>
      <w:r w:rsidR="00636113" w:rsidRPr="007C5340">
        <w:rPr>
          <w:rFonts w:ascii="Times New Roman" w:hAnsi="Times New Roman"/>
          <w:sz w:val="24"/>
          <w:szCs w:val="24"/>
          <w:lang w:val="es-ES"/>
        </w:rPr>
        <w:t xml:space="preserve">y antecedentes </w:t>
      </w:r>
      <w:r w:rsidR="00CB1A52" w:rsidRPr="007C5340">
        <w:rPr>
          <w:rFonts w:ascii="Times New Roman" w:hAnsi="Times New Roman"/>
          <w:sz w:val="24"/>
          <w:szCs w:val="24"/>
          <w:lang w:val="es-ES"/>
        </w:rPr>
        <w:t>personales</w:t>
      </w:r>
      <w:r w:rsidR="00EE23C1" w:rsidRPr="007C5340">
        <w:rPr>
          <w:rFonts w:ascii="Times New Roman" w:hAnsi="Times New Roman"/>
          <w:sz w:val="24"/>
          <w:szCs w:val="24"/>
          <w:lang w:val="es-ES"/>
        </w:rPr>
        <w:t>. Los datos se</w:t>
      </w:r>
      <w:r w:rsidR="008B1A07" w:rsidRPr="007C5340">
        <w:rPr>
          <w:rFonts w:ascii="Times New Roman" w:hAnsi="Times New Roman"/>
          <w:sz w:val="24"/>
          <w:szCs w:val="24"/>
          <w:lang w:val="es-ES"/>
        </w:rPr>
        <w:t xml:space="preserve"> expresaron en números y por cientos</w:t>
      </w:r>
      <w:r w:rsidR="00EE23C1" w:rsidRPr="007C5340">
        <w:rPr>
          <w:rFonts w:ascii="Times New Roman" w:hAnsi="Times New Roman"/>
          <w:sz w:val="24"/>
          <w:szCs w:val="24"/>
          <w:lang w:val="es-ES"/>
        </w:rPr>
        <w:t>.</w:t>
      </w:r>
    </w:p>
    <w:p w:rsidR="009779BB" w:rsidRPr="007C5340" w:rsidRDefault="00BC3E9F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b/>
          <w:sz w:val="24"/>
          <w:szCs w:val="24"/>
          <w:lang w:val="es-ES"/>
        </w:rPr>
        <w:t>Resultados:</w:t>
      </w:r>
      <w:r w:rsidR="00D13275" w:rsidRPr="007C5340">
        <w:rPr>
          <w:rFonts w:ascii="Times New Roman" w:hAnsi="Times New Roman"/>
          <w:sz w:val="24"/>
          <w:szCs w:val="24"/>
          <w:lang w:val="es-ES"/>
        </w:rPr>
        <w:t xml:space="preserve"> D</w:t>
      </w:r>
      <w:r w:rsidR="00E53722" w:rsidRPr="007C5340">
        <w:rPr>
          <w:rFonts w:ascii="Times New Roman" w:hAnsi="Times New Roman"/>
          <w:sz w:val="24"/>
          <w:szCs w:val="24"/>
          <w:lang w:val="es-ES"/>
        </w:rPr>
        <w:t xml:space="preserve">e </w:t>
      </w:r>
      <w:r w:rsidR="00E5156B" w:rsidRPr="007C5340">
        <w:rPr>
          <w:rFonts w:ascii="Times New Roman" w:hAnsi="Times New Roman"/>
          <w:sz w:val="24"/>
          <w:szCs w:val="24"/>
          <w:lang w:val="es-ES"/>
        </w:rPr>
        <w:t>la muestra analizada el 30,9 % correspondió al grupo etario de 30 a 34 años</w:t>
      </w:r>
      <w:r w:rsidR="00A61D3E" w:rsidRPr="007C5340">
        <w:rPr>
          <w:rFonts w:ascii="Times New Roman" w:hAnsi="Times New Roman"/>
          <w:sz w:val="24"/>
          <w:szCs w:val="24"/>
          <w:lang w:val="es-ES"/>
        </w:rPr>
        <w:t>, procedentes</w:t>
      </w:r>
      <w:r w:rsidR="000F2E39" w:rsidRPr="007C534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61D3E" w:rsidRPr="007C5340">
        <w:rPr>
          <w:rFonts w:ascii="Times New Roman" w:hAnsi="Times New Roman"/>
          <w:sz w:val="24"/>
          <w:szCs w:val="24"/>
          <w:lang w:val="es-ES"/>
        </w:rPr>
        <w:t xml:space="preserve">en su mayoría </w:t>
      </w:r>
      <w:r w:rsidR="00E17F7F" w:rsidRPr="007C5340">
        <w:rPr>
          <w:rFonts w:ascii="Times New Roman" w:hAnsi="Times New Roman"/>
          <w:sz w:val="24"/>
          <w:szCs w:val="24"/>
          <w:lang w:val="es-ES"/>
        </w:rPr>
        <w:t>de</w:t>
      </w:r>
      <w:r w:rsidR="00A61D3E" w:rsidRPr="007C5340">
        <w:rPr>
          <w:rFonts w:ascii="Times New Roman" w:hAnsi="Times New Roman"/>
          <w:sz w:val="24"/>
          <w:szCs w:val="24"/>
          <w:lang w:val="es-ES"/>
        </w:rPr>
        <w:t>l</w:t>
      </w:r>
      <w:r w:rsidR="00E17F7F" w:rsidRPr="007C5340">
        <w:rPr>
          <w:rFonts w:ascii="Times New Roman" w:hAnsi="Times New Roman"/>
          <w:sz w:val="24"/>
          <w:szCs w:val="24"/>
          <w:lang w:val="es-ES"/>
        </w:rPr>
        <w:t xml:space="preserve"> munici</w:t>
      </w:r>
      <w:r w:rsidR="00A61D3E" w:rsidRPr="007C5340">
        <w:rPr>
          <w:rFonts w:ascii="Times New Roman" w:hAnsi="Times New Roman"/>
          <w:sz w:val="24"/>
          <w:szCs w:val="24"/>
          <w:lang w:val="es-ES"/>
        </w:rPr>
        <w:t>pio Camagüey (43,5 %), mientras Céspedes</w:t>
      </w:r>
      <w:r w:rsidR="00E17F7F" w:rsidRPr="007C5340">
        <w:rPr>
          <w:rFonts w:ascii="Times New Roman" w:hAnsi="Times New Roman"/>
          <w:sz w:val="24"/>
          <w:szCs w:val="24"/>
          <w:lang w:val="es-ES"/>
        </w:rPr>
        <w:t xml:space="preserve"> alcanzó </w:t>
      </w:r>
      <w:r w:rsidR="00A61D3E" w:rsidRPr="007C5340">
        <w:rPr>
          <w:rFonts w:ascii="Times New Roman" w:hAnsi="Times New Roman"/>
          <w:sz w:val="24"/>
          <w:szCs w:val="24"/>
          <w:lang w:val="es-ES"/>
        </w:rPr>
        <w:t>la mayor tasa de incidencia (13,8</w:t>
      </w:r>
      <w:r w:rsidR="000D143F" w:rsidRPr="007C5340">
        <w:rPr>
          <w:rFonts w:ascii="Times New Roman" w:hAnsi="Times New Roman"/>
          <w:sz w:val="24"/>
          <w:szCs w:val="24"/>
          <w:lang w:val="es-ES"/>
        </w:rPr>
        <w:t xml:space="preserve"> %) por cada 1000 mujeres con rango de edad qu</w:t>
      </w:r>
      <w:r w:rsidR="00C813C0" w:rsidRPr="007C5340">
        <w:rPr>
          <w:rFonts w:ascii="Times New Roman" w:hAnsi="Times New Roman"/>
          <w:sz w:val="24"/>
          <w:szCs w:val="24"/>
          <w:lang w:val="es-ES"/>
        </w:rPr>
        <w:t>e pudieran ser admitidas en el Programa</w:t>
      </w:r>
      <w:r w:rsidR="00E17F7F" w:rsidRPr="007C5340">
        <w:rPr>
          <w:rFonts w:ascii="Times New Roman" w:hAnsi="Times New Roman"/>
          <w:sz w:val="24"/>
          <w:szCs w:val="24"/>
          <w:lang w:val="es-ES"/>
        </w:rPr>
        <w:t>.</w:t>
      </w:r>
      <w:r w:rsidR="00796FB5" w:rsidRPr="007C5340">
        <w:rPr>
          <w:rFonts w:ascii="Times New Roman" w:hAnsi="Times New Roman"/>
          <w:sz w:val="24"/>
          <w:szCs w:val="24"/>
          <w:lang w:val="es-ES"/>
        </w:rPr>
        <w:t xml:space="preserve"> Un por ciento elevado </w:t>
      </w:r>
      <w:r w:rsidR="007959B6" w:rsidRPr="007C5340">
        <w:rPr>
          <w:rFonts w:ascii="Times New Roman" w:hAnsi="Times New Roman"/>
          <w:sz w:val="24"/>
          <w:szCs w:val="24"/>
          <w:lang w:val="es-ES"/>
        </w:rPr>
        <w:t>tenían estudios universitarios (45,4 %) y preuniversitarios (24,3 %)</w:t>
      </w:r>
      <w:r w:rsidR="003E5767" w:rsidRPr="007C5340">
        <w:rPr>
          <w:rFonts w:ascii="Times New Roman" w:hAnsi="Times New Roman"/>
          <w:sz w:val="24"/>
          <w:szCs w:val="24"/>
          <w:lang w:val="es-ES"/>
        </w:rPr>
        <w:t>, predominando el café (24,0 %) y tabaco (14,5</w:t>
      </w:r>
      <w:r w:rsidR="009E4160" w:rsidRPr="007C5340">
        <w:rPr>
          <w:rFonts w:ascii="Times New Roman" w:hAnsi="Times New Roman"/>
          <w:sz w:val="24"/>
          <w:szCs w:val="24"/>
          <w:lang w:val="es-ES"/>
        </w:rPr>
        <w:t xml:space="preserve"> %) como hábitos tóxicos; así como ETS (24,7 %) y uso de anticonceptivo (21,1 %).</w:t>
      </w:r>
      <w:r w:rsidR="003E5767" w:rsidRPr="007C5340">
        <w:rPr>
          <w:rFonts w:ascii="Times New Roman" w:hAnsi="Times New Roman"/>
          <w:sz w:val="24"/>
          <w:szCs w:val="24"/>
          <w:lang w:val="es-ES"/>
        </w:rPr>
        <w:t xml:space="preserve"> La obesidad (13,5 %) resultó ser el principal antecedente personal.</w:t>
      </w:r>
    </w:p>
    <w:p w:rsidR="003209BB" w:rsidRPr="007C5340" w:rsidRDefault="003209BB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5340">
        <w:rPr>
          <w:rFonts w:ascii="Times New Roman" w:hAnsi="Times New Roman"/>
          <w:b/>
          <w:sz w:val="24"/>
          <w:szCs w:val="24"/>
          <w:lang w:val="es-ES"/>
        </w:rPr>
        <w:t xml:space="preserve">Conclusiones: </w:t>
      </w:r>
      <w:r w:rsidR="00D13275" w:rsidRPr="007C5340">
        <w:rPr>
          <w:rFonts w:ascii="Times New Roman" w:hAnsi="Times New Roman"/>
          <w:sz w:val="24"/>
          <w:szCs w:val="24"/>
        </w:rPr>
        <w:t>L</w:t>
      </w:r>
      <w:r w:rsidRPr="007C5340">
        <w:rPr>
          <w:rFonts w:ascii="Times New Roman" w:hAnsi="Times New Roman"/>
          <w:sz w:val="24"/>
          <w:szCs w:val="24"/>
        </w:rPr>
        <w:t xml:space="preserve">a infertilidad femenina está determinada </w:t>
      </w:r>
      <w:r w:rsidR="00A84523" w:rsidRPr="007C5340">
        <w:rPr>
          <w:rFonts w:ascii="Times New Roman" w:hAnsi="Times New Roman"/>
          <w:sz w:val="24"/>
          <w:szCs w:val="24"/>
        </w:rPr>
        <w:t xml:space="preserve">por </w:t>
      </w:r>
      <w:r w:rsidR="004D4710" w:rsidRPr="007C5340">
        <w:rPr>
          <w:rFonts w:ascii="Times New Roman" w:hAnsi="Times New Roman"/>
          <w:sz w:val="24"/>
          <w:szCs w:val="24"/>
        </w:rPr>
        <w:t>varios factores</w:t>
      </w:r>
      <w:r w:rsidR="008661FC" w:rsidRPr="007C5340">
        <w:rPr>
          <w:rFonts w:ascii="Times New Roman" w:hAnsi="Times New Roman"/>
          <w:sz w:val="24"/>
          <w:szCs w:val="24"/>
        </w:rPr>
        <w:t>,</w:t>
      </w:r>
      <w:r w:rsidR="004D4710" w:rsidRPr="007C5340">
        <w:rPr>
          <w:rFonts w:ascii="Times New Roman" w:hAnsi="Times New Roman"/>
          <w:sz w:val="24"/>
          <w:szCs w:val="24"/>
        </w:rPr>
        <w:t xml:space="preserve"> incluidos</w:t>
      </w:r>
      <w:r w:rsidR="00565F58" w:rsidRPr="007C5340">
        <w:rPr>
          <w:rFonts w:ascii="Times New Roman" w:hAnsi="Times New Roman"/>
          <w:sz w:val="24"/>
          <w:szCs w:val="24"/>
        </w:rPr>
        <w:t xml:space="preserve"> los </w:t>
      </w:r>
      <w:r w:rsidR="00A84523" w:rsidRPr="007C5340">
        <w:rPr>
          <w:rFonts w:ascii="Times New Roman" w:hAnsi="Times New Roman"/>
          <w:sz w:val="24"/>
          <w:szCs w:val="24"/>
        </w:rPr>
        <w:t>epid</w:t>
      </w:r>
      <w:r w:rsidR="00565F58" w:rsidRPr="007C5340">
        <w:rPr>
          <w:rFonts w:ascii="Times New Roman" w:hAnsi="Times New Roman"/>
          <w:sz w:val="24"/>
          <w:szCs w:val="24"/>
        </w:rPr>
        <w:t xml:space="preserve">emiológicos, como </w:t>
      </w:r>
      <w:r w:rsidR="00A84523" w:rsidRPr="007C5340">
        <w:rPr>
          <w:rFonts w:ascii="Times New Roman" w:hAnsi="Times New Roman"/>
          <w:sz w:val="24"/>
          <w:szCs w:val="24"/>
        </w:rPr>
        <w:t>los</w:t>
      </w:r>
      <w:r w:rsidRPr="007C5340">
        <w:rPr>
          <w:rFonts w:ascii="Times New Roman" w:hAnsi="Times New Roman"/>
          <w:sz w:val="24"/>
          <w:szCs w:val="24"/>
        </w:rPr>
        <w:t xml:space="preserve"> hábitos tóxicos, estado nutricional, antecedentes personales, entre otros, en su mayoría</w:t>
      </w:r>
      <w:r w:rsidR="00565F58" w:rsidRPr="007C5340">
        <w:rPr>
          <w:rFonts w:ascii="Times New Roman" w:hAnsi="Times New Roman"/>
          <w:sz w:val="24"/>
          <w:szCs w:val="24"/>
        </w:rPr>
        <w:t xml:space="preserve"> modificables, que pueden ser tratados</w:t>
      </w:r>
      <w:r w:rsidRPr="007C5340">
        <w:rPr>
          <w:rFonts w:ascii="Times New Roman" w:hAnsi="Times New Roman"/>
          <w:sz w:val="24"/>
          <w:szCs w:val="24"/>
        </w:rPr>
        <w:t xml:space="preserve"> desde la atención primaria de salud.</w:t>
      </w:r>
    </w:p>
    <w:p w:rsidR="00BC3E9F" w:rsidRPr="007C5340" w:rsidRDefault="00D13275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b/>
          <w:sz w:val="24"/>
          <w:szCs w:val="24"/>
          <w:lang w:val="es-BO"/>
        </w:rPr>
        <w:t>Palabras clave</w:t>
      </w:r>
      <w:r w:rsidR="00BC3E9F" w:rsidRPr="007C5340">
        <w:rPr>
          <w:rFonts w:ascii="Times New Roman" w:hAnsi="Times New Roman"/>
          <w:b/>
          <w:sz w:val="24"/>
          <w:szCs w:val="24"/>
          <w:lang w:val="es-BO"/>
        </w:rPr>
        <w:t>:</w:t>
      </w:r>
      <w:r w:rsidRPr="007C5340">
        <w:rPr>
          <w:rFonts w:ascii="Times New Roman" w:hAnsi="Times New Roman"/>
          <w:sz w:val="24"/>
          <w:szCs w:val="24"/>
          <w:lang w:val="es-BO"/>
        </w:rPr>
        <w:t xml:space="preserve"> I</w:t>
      </w:r>
      <w:r w:rsidR="006524ED" w:rsidRPr="007C5340">
        <w:rPr>
          <w:rFonts w:ascii="Times New Roman" w:hAnsi="Times New Roman"/>
          <w:sz w:val="24"/>
          <w:szCs w:val="24"/>
          <w:lang w:val="es-BO"/>
        </w:rPr>
        <w:t>nfertilidad femenina; multifactorial;</w:t>
      </w:r>
      <w:r w:rsidR="00CF3C9D" w:rsidRPr="007C5340">
        <w:rPr>
          <w:rFonts w:ascii="Times New Roman" w:hAnsi="Times New Roman"/>
          <w:sz w:val="24"/>
          <w:szCs w:val="24"/>
          <w:lang w:val="es-BO"/>
        </w:rPr>
        <w:t xml:space="preserve"> factores de riesgo</w:t>
      </w:r>
      <w:r w:rsidR="0047660C" w:rsidRPr="007C5340">
        <w:rPr>
          <w:rFonts w:ascii="Times New Roman" w:hAnsi="Times New Roman"/>
          <w:sz w:val="24"/>
          <w:szCs w:val="24"/>
          <w:lang w:val="es-BO"/>
        </w:rPr>
        <w:t>.</w:t>
      </w:r>
    </w:p>
    <w:p w:rsidR="000D47D4" w:rsidRPr="00F25E5C" w:rsidRDefault="000D47D4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DE3AFA" w:rsidRPr="007C5340" w:rsidRDefault="00F25E5C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C5340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0E5A26" w:rsidRPr="007C5340" w:rsidRDefault="00FF3793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Background</w:t>
      </w:r>
      <w:r w:rsidR="00AD7CF0" w:rsidRPr="007C5340">
        <w:rPr>
          <w:rFonts w:ascii="Times New Roman" w:hAnsi="Times New Roman"/>
          <w:b/>
          <w:sz w:val="24"/>
          <w:szCs w:val="24"/>
          <w:lang w:val="en-US"/>
        </w:rPr>
        <w:t>:</w:t>
      </w:r>
      <w:r w:rsidR="000620B9" w:rsidRPr="007C5340">
        <w:rPr>
          <w:rFonts w:ascii="Times New Roman" w:hAnsi="Times New Roman"/>
          <w:sz w:val="24"/>
          <w:szCs w:val="24"/>
          <w:lang w:val="en-US"/>
        </w:rPr>
        <w:t xml:space="preserve"> F</w:t>
      </w:r>
      <w:r w:rsidR="00AD7CF0" w:rsidRPr="007C5340">
        <w:rPr>
          <w:rFonts w:ascii="Times New Roman" w:hAnsi="Times New Roman"/>
          <w:sz w:val="24"/>
          <w:szCs w:val="24"/>
          <w:lang w:val="en-US"/>
        </w:rPr>
        <w:t>emale infertility is a term used refer to a woman who has not been able to get pregnant after trying for at least one year by having un protec</w:t>
      </w:r>
      <w:r w:rsidR="00D0287A" w:rsidRPr="007C5340">
        <w:rPr>
          <w:rFonts w:ascii="Times New Roman" w:hAnsi="Times New Roman"/>
          <w:sz w:val="24"/>
          <w:szCs w:val="24"/>
          <w:lang w:val="en-US"/>
        </w:rPr>
        <w:t>ted sexual intercourse</w:t>
      </w:r>
      <w:r w:rsidR="00AD7CF0" w:rsidRPr="007C5340">
        <w:rPr>
          <w:rFonts w:ascii="Times New Roman" w:hAnsi="Times New Roman"/>
          <w:sz w:val="24"/>
          <w:szCs w:val="24"/>
          <w:lang w:val="en-US"/>
        </w:rPr>
        <w:t>.</w:t>
      </w:r>
    </w:p>
    <w:p w:rsidR="00AD7CF0" w:rsidRPr="007C5340" w:rsidRDefault="00AD7CF0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5340">
        <w:rPr>
          <w:rFonts w:ascii="Times New Roman" w:hAnsi="Times New Roman"/>
          <w:b/>
          <w:sz w:val="24"/>
          <w:szCs w:val="24"/>
          <w:lang w:val="en-US"/>
        </w:rPr>
        <w:t>Objective:</w:t>
      </w:r>
      <w:r w:rsidR="000620B9" w:rsidRPr="007C5340">
        <w:rPr>
          <w:rFonts w:ascii="Times New Roman" w:hAnsi="Times New Roman"/>
          <w:sz w:val="24"/>
          <w:szCs w:val="24"/>
          <w:lang w:val="en-US"/>
        </w:rPr>
        <w:t xml:space="preserve"> T</w:t>
      </w:r>
      <w:r w:rsidRPr="007C5340">
        <w:rPr>
          <w:rFonts w:ascii="Times New Roman" w:hAnsi="Times New Roman"/>
          <w:sz w:val="24"/>
          <w:szCs w:val="24"/>
          <w:lang w:val="en-US"/>
        </w:rPr>
        <w:t>o characterize some socio-epidemiological variables of female infertility in Camaguey province.</w:t>
      </w:r>
    </w:p>
    <w:p w:rsidR="00AD7CF0" w:rsidRPr="007C5340" w:rsidRDefault="00AD7CF0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5340">
        <w:rPr>
          <w:rFonts w:ascii="Times New Roman" w:hAnsi="Times New Roman"/>
          <w:b/>
          <w:sz w:val="24"/>
          <w:szCs w:val="24"/>
          <w:lang w:val="en-US"/>
        </w:rPr>
        <w:t>Method</w:t>
      </w:r>
      <w:r w:rsidR="00153AB0">
        <w:rPr>
          <w:rFonts w:ascii="Times New Roman" w:hAnsi="Times New Roman"/>
          <w:b/>
          <w:sz w:val="24"/>
          <w:szCs w:val="24"/>
          <w:lang w:val="en-US"/>
        </w:rPr>
        <w:t>s</w:t>
      </w:r>
      <w:r w:rsidRPr="007C5340">
        <w:rPr>
          <w:rFonts w:ascii="Times New Roman" w:hAnsi="Times New Roman"/>
          <w:b/>
          <w:sz w:val="24"/>
          <w:szCs w:val="24"/>
          <w:lang w:val="en-US"/>
        </w:rPr>
        <w:t>:</w:t>
      </w:r>
      <w:r w:rsidR="000620B9" w:rsidRPr="007C5340"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7C5340">
        <w:rPr>
          <w:rFonts w:ascii="Times New Roman" w:hAnsi="Times New Roman"/>
          <w:sz w:val="24"/>
          <w:szCs w:val="24"/>
          <w:lang w:val="en-US"/>
        </w:rPr>
        <w:t>escriptive, cross-sectional, observational study carried out at the Provincial Maternity Hospital of Camaguey during the year 2021. The universe consisted of 304 patients diagnosed with inferti</w:t>
      </w:r>
      <w:r w:rsidR="00C71CC5" w:rsidRPr="007C5340">
        <w:rPr>
          <w:rFonts w:ascii="Times New Roman" w:hAnsi="Times New Roman"/>
          <w:sz w:val="24"/>
          <w:szCs w:val="24"/>
          <w:lang w:val="en-US"/>
        </w:rPr>
        <w:t>lity</w:t>
      </w:r>
      <w:r w:rsidRPr="007C534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00E8E" w:rsidRPr="007C5340">
        <w:rPr>
          <w:rFonts w:ascii="Times New Roman" w:hAnsi="Times New Roman"/>
          <w:sz w:val="24"/>
          <w:szCs w:val="24"/>
          <w:lang w:val="en-US"/>
        </w:rPr>
        <w:t>The variables studied included: age group, type of infertility, municipality of origin, incidence rate, educational level, toxic habits, risk factors and personal history. The data was expressed in numbers and by hundreds.</w:t>
      </w:r>
    </w:p>
    <w:p w:rsidR="00200E8E" w:rsidRPr="007C5340" w:rsidRDefault="00200E8E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5340">
        <w:rPr>
          <w:rFonts w:ascii="Times New Roman" w:hAnsi="Times New Roman"/>
          <w:b/>
          <w:sz w:val="24"/>
          <w:szCs w:val="24"/>
          <w:lang w:val="en-US"/>
        </w:rPr>
        <w:t>Results:</w:t>
      </w:r>
      <w:r w:rsidR="000620B9" w:rsidRPr="007C5340">
        <w:rPr>
          <w:rFonts w:ascii="Times New Roman" w:hAnsi="Times New Roman"/>
          <w:sz w:val="24"/>
          <w:szCs w:val="24"/>
          <w:lang w:val="en-US"/>
        </w:rPr>
        <w:t xml:space="preserve">  O</w:t>
      </w:r>
      <w:r w:rsidRPr="007C5340">
        <w:rPr>
          <w:rFonts w:ascii="Times New Roman" w:hAnsi="Times New Roman"/>
          <w:sz w:val="24"/>
          <w:szCs w:val="24"/>
          <w:lang w:val="en-US"/>
        </w:rPr>
        <w:t>f the total sample analyzed, 30.9 % corresponded to the age group of 30 to 34 years, mostly from the municipality of Camaguey (43.5 %), while Céspedes reached the highest incidence rate (13.8 %)</w:t>
      </w:r>
      <w:r w:rsidR="008953FC" w:rsidRPr="007C5340">
        <w:rPr>
          <w:rFonts w:ascii="Times New Roman" w:hAnsi="Times New Roman"/>
          <w:sz w:val="24"/>
          <w:szCs w:val="24"/>
          <w:lang w:val="en-US"/>
        </w:rPr>
        <w:t xml:space="preserve"> for every 1,000 women within the age range that could be </w:t>
      </w:r>
      <w:r w:rsidR="008953FC" w:rsidRPr="007C5340">
        <w:rPr>
          <w:rFonts w:ascii="Times New Roman" w:hAnsi="Times New Roman"/>
          <w:sz w:val="24"/>
          <w:szCs w:val="24"/>
          <w:lang w:val="en-US"/>
        </w:rPr>
        <w:lastRenderedPageBreak/>
        <w:t>referr</w:t>
      </w:r>
      <w:r w:rsidR="00C71CC5" w:rsidRPr="007C5340">
        <w:rPr>
          <w:rFonts w:ascii="Times New Roman" w:hAnsi="Times New Roman"/>
          <w:sz w:val="24"/>
          <w:szCs w:val="24"/>
          <w:lang w:val="en-US"/>
        </w:rPr>
        <w:t xml:space="preserve">ed to the </w:t>
      </w:r>
      <w:r w:rsidR="008953FC" w:rsidRPr="007C5340">
        <w:rPr>
          <w:rFonts w:ascii="Times New Roman" w:hAnsi="Times New Roman"/>
          <w:sz w:val="24"/>
          <w:szCs w:val="24"/>
          <w:lang w:val="en-US"/>
        </w:rPr>
        <w:t>Program. A high percentage had university studies (45.4 %) and pre-university studies (24.3 %), with coffe</w:t>
      </w:r>
      <w:r w:rsidR="00AE370A" w:rsidRPr="007C5340">
        <w:rPr>
          <w:rFonts w:ascii="Times New Roman" w:hAnsi="Times New Roman"/>
          <w:sz w:val="24"/>
          <w:szCs w:val="24"/>
          <w:lang w:val="en-US"/>
        </w:rPr>
        <w:t>e</w:t>
      </w:r>
      <w:r w:rsidR="008953FC" w:rsidRPr="007C5340">
        <w:rPr>
          <w:rFonts w:ascii="Times New Roman" w:hAnsi="Times New Roman"/>
          <w:sz w:val="24"/>
          <w:szCs w:val="24"/>
          <w:lang w:val="en-US"/>
        </w:rPr>
        <w:t xml:space="preserve"> (24.0 %) and tobacco (14.5 %) predominating as toxic habits; as well as STDs (24.7 %) and contraceptive use (21.1 %) Obesity (13.5 %) turned out to be the main personal history.</w:t>
      </w:r>
    </w:p>
    <w:p w:rsidR="006524ED" w:rsidRPr="007C5340" w:rsidRDefault="006524ED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5340">
        <w:rPr>
          <w:rFonts w:ascii="Times New Roman" w:hAnsi="Times New Roman"/>
          <w:b/>
          <w:sz w:val="24"/>
          <w:szCs w:val="24"/>
          <w:lang w:val="en-US"/>
        </w:rPr>
        <w:t>Conclusions:</w:t>
      </w:r>
      <w:r w:rsidR="002B0C45" w:rsidRPr="007C53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20B9" w:rsidRPr="007C5340">
        <w:rPr>
          <w:rFonts w:ascii="Times New Roman" w:hAnsi="Times New Roman"/>
          <w:sz w:val="24"/>
          <w:szCs w:val="24"/>
          <w:lang w:val="en-US"/>
        </w:rPr>
        <w:t>F</w:t>
      </w:r>
      <w:r w:rsidRPr="007C5340">
        <w:rPr>
          <w:rFonts w:ascii="Times New Roman" w:hAnsi="Times New Roman"/>
          <w:sz w:val="24"/>
          <w:szCs w:val="24"/>
          <w:lang w:val="en-US"/>
        </w:rPr>
        <w:t>emale infer</w:t>
      </w:r>
      <w:r w:rsidR="00015093" w:rsidRPr="007C5340">
        <w:rPr>
          <w:rFonts w:ascii="Times New Roman" w:hAnsi="Times New Roman"/>
          <w:sz w:val="24"/>
          <w:szCs w:val="24"/>
          <w:lang w:val="en-US"/>
        </w:rPr>
        <w:t>tility is determined by several factors, including epidemiological ones, such as toxic habits, nutritional status, personal history, among others, mostly modifiable, which can be treated from primary health care</w:t>
      </w:r>
      <w:r w:rsidRPr="007C5340">
        <w:rPr>
          <w:rFonts w:ascii="Times New Roman" w:hAnsi="Times New Roman"/>
          <w:sz w:val="24"/>
          <w:szCs w:val="24"/>
          <w:lang w:val="en-US"/>
        </w:rPr>
        <w:t>.</w:t>
      </w:r>
    </w:p>
    <w:p w:rsidR="006524ED" w:rsidRPr="007C5340" w:rsidRDefault="006524ED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5340">
        <w:rPr>
          <w:rFonts w:ascii="Times New Roman" w:hAnsi="Times New Roman"/>
          <w:b/>
          <w:sz w:val="24"/>
          <w:szCs w:val="24"/>
          <w:lang w:val="en-US"/>
        </w:rPr>
        <w:t>Key</w:t>
      </w:r>
      <w:r w:rsidR="00BA30F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C5340">
        <w:rPr>
          <w:rFonts w:ascii="Times New Roman" w:hAnsi="Times New Roman"/>
          <w:b/>
          <w:sz w:val="24"/>
          <w:szCs w:val="24"/>
          <w:lang w:val="en-US"/>
        </w:rPr>
        <w:t>words:</w:t>
      </w:r>
      <w:r w:rsidRPr="007C5340">
        <w:rPr>
          <w:rFonts w:ascii="Times New Roman" w:hAnsi="Times New Roman"/>
          <w:sz w:val="24"/>
          <w:szCs w:val="24"/>
          <w:lang w:val="en-US"/>
        </w:rPr>
        <w:t xml:space="preserve"> Female infertility; multifactorial; risk factors.</w:t>
      </w:r>
    </w:p>
    <w:p w:rsidR="00163A8E" w:rsidRPr="00F25E5C" w:rsidRDefault="00163A8E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92A1F" w:rsidRPr="007C5340" w:rsidRDefault="00163A8E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BO"/>
        </w:rPr>
      </w:pPr>
      <w:r>
        <w:rPr>
          <w:rFonts w:ascii="Times New Roman" w:hAnsi="Times New Roman"/>
          <w:b/>
          <w:sz w:val="24"/>
          <w:szCs w:val="24"/>
          <w:lang w:val="es-BO"/>
        </w:rPr>
        <w:t>INTRODUCCIÓN</w:t>
      </w:r>
    </w:p>
    <w:p w:rsidR="00DA320E" w:rsidRPr="007C5340" w:rsidRDefault="00DA320E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En los últimos años, a nivel internacional, se ha incorporado progresivamente</w:t>
      </w:r>
      <w:r w:rsidR="00990B20" w:rsidRPr="007C5340">
        <w:rPr>
          <w:rFonts w:ascii="Times New Roman" w:hAnsi="Times New Roman" w:cs="Times New Roman"/>
        </w:rPr>
        <w:t xml:space="preserve"> por la Organización Mundial de la Salud (OMS)</w:t>
      </w:r>
      <w:r w:rsidRPr="007C5340">
        <w:rPr>
          <w:rFonts w:ascii="Times New Roman" w:hAnsi="Times New Roman" w:cs="Times New Roman"/>
        </w:rPr>
        <w:t xml:space="preserve"> el concepto de Salud Sexual y Reproductiva (SSR), como una condición de bienestar físico, mental y social en los aspectos relativos al sistema reproductivo e</w:t>
      </w:r>
      <w:r w:rsidR="00736671" w:rsidRPr="007C5340">
        <w:rPr>
          <w:rFonts w:ascii="Times New Roman" w:hAnsi="Times New Roman" w:cs="Times New Roman"/>
        </w:rPr>
        <w:t>n todas las etapas de la vida, i</w:t>
      </w:r>
      <w:r w:rsidRPr="007C5340">
        <w:rPr>
          <w:rFonts w:ascii="Times New Roman" w:hAnsi="Times New Roman" w:cs="Times New Roman"/>
        </w:rPr>
        <w:t>mplica</w:t>
      </w:r>
      <w:r w:rsidR="00736671" w:rsidRPr="007C5340">
        <w:rPr>
          <w:rFonts w:ascii="Times New Roman" w:hAnsi="Times New Roman" w:cs="Times New Roman"/>
        </w:rPr>
        <w:t>ndo</w:t>
      </w:r>
      <w:r w:rsidRPr="007C5340">
        <w:rPr>
          <w:rFonts w:ascii="Times New Roman" w:hAnsi="Times New Roman" w:cs="Times New Roman"/>
        </w:rPr>
        <w:t xml:space="preserve"> que las personas puedan tener una vida sexual sa</w:t>
      </w:r>
      <w:r w:rsidR="00736671" w:rsidRPr="007C5340">
        <w:rPr>
          <w:rFonts w:ascii="Times New Roman" w:hAnsi="Times New Roman" w:cs="Times New Roman"/>
        </w:rPr>
        <w:t>tisfactoria y segura, con</w:t>
      </w:r>
      <w:r w:rsidRPr="007C5340">
        <w:rPr>
          <w:rFonts w:ascii="Times New Roman" w:hAnsi="Times New Roman" w:cs="Times New Roman"/>
        </w:rPr>
        <w:t xml:space="preserve"> la </w:t>
      </w:r>
      <w:r w:rsidR="00736671" w:rsidRPr="007C5340">
        <w:rPr>
          <w:rFonts w:ascii="Times New Roman" w:hAnsi="Times New Roman" w:cs="Times New Roman"/>
        </w:rPr>
        <w:t xml:space="preserve">capacidad de tener hijos, </w:t>
      </w:r>
      <w:r w:rsidRPr="007C5340">
        <w:rPr>
          <w:rFonts w:ascii="Times New Roman" w:hAnsi="Times New Roman" w:cs="Times New Roman"/>
        </w:rPr>
        <w:t xml:space="preserve">libertad de </w:t>
      </w:r>
      <w:r w:rsidR="00736671" w:rsidRPr="007C5340">
        <w:rPr>
          <w:rFonts w:ascii="Times New Roman" w:hAnsi="Times New Roman" w:cs="Times New Roman"/>
        </w:rPr>
        <w:t>decidir si quieren tenerlos, cuá</w:t>
      </w:r>
      <w:r w:rsidRPr="007C5340">
        <w:rPr>
          <w:rFonts w:ascii="Times New Roman" w:hAnsi="Times New Roman" w:cs="Times New Roman"/>
        </w:rPr>
        <w:t xml:space="preserve">ndo y con qué </w:t>
      </w:r>
      <w:proofErr w:type="gramStart"/>
      <w:r w:rsidRPr="007C5340">
        <w:rPr>
          <w:rFonts w:ascii="Times New Roman" w:hAnsi="Times New Roman" w:cs="Times New Roman"/>
        </w:rPr>
        <w:t>frecuencia.</w:t>
      </w:r>
      <w:r w:rsidR="00AD17E4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A4940" w:rsidRPr="007C5340">
        <w:rPr>
          <w:rFonts w:ascii="Times New Roman" w:hAnsi="Times New Roman" w:cs="Times New Roman"/>
          <w:vertAlign w:val="superscript"/>
        </w:rPr>
        <w:t>1</w:t>
      </w:r>
      <w:r w:rsidR="00AD17E4" w:rsidRPr="007C5340">
        <w:rPr>
          <w:rFonts w:ascii="Times New Roman" w:hAnsi="Times New Roman" w:cs="Times New Roman"/>
          <w:noProof/>
          <w:vertAlign w:val="superscript"/>
        </w:rPr>
        <w:t>)</w:t>
      </w:r>
    </w:p>
    <w:p w:rsidR="00DA320E" w:rsidRPr="007C5340" w:rsidRDefault="00DA320E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 xml:space="preserve">En esta última condición está implícito el derecho de hombres y mujeres de estar informados y tener acceso a métodos de regulación de la fertilidad que sean </w:t>
      </w:r>
      <w:r w:rsidR="00640481" w:rsidRPr="007C5340">
        <w:rPr>
          <w:rFonts w:ascii="Times New Roman" w:hAnsi="Times New Roman" w:cs="Times New Roman"/>
        </w:rPr>
        <w:t>seguros, eficaces, asequibles, aceptables y también</w:t>
      </w:r>
      <w:r w:rsidRPr="007C5340">
        <w:rPr>
          <w:rFonts w:ascii="Times New Roman" w:hAnsi="Times New Roman" w:cs="Times New Roman"/>
        </w:rPr>
        <w:t xml:space="preserve"> el derecho a acceder a servicios de salud adecuados que permitan a la mujer llevar a término su embarazo y tener un parto de forma </w:t>
      </w:r>
      <w:proofErr w:type="gramStart"/>
      <w:r w:rsidRPr="007C5340">
        <w:rPr>
          <w:rFonts w:ascii="Times New Roman" w:hAnsi="Times New Roman" w:cs="Times New Roman"/>
        </w:rPr>
        <w:t>segura.</w:t>
      </w:r>
      <w:r w:rsidR="00AD17E4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</w:rPr>
        <w:t>2</w:t>
      </w:r>
      <w:r w:rsidR="00AD17E4" w:rsidRPr="007C5340">
        <w:rPr>
          <w:rFonts w:ascii="Times New Roman" w:hAnsi="Times New Roman" w:cs="Times New Roman"/>
          <w:noProof/>
          <w:vertAlign w:val="superscript"/>
        </w:rPr>
        <w:t>)</w:t>
      </w:r>
    </w:p>
    <w:p w:rsidR="00DA320E" w:rsidRPr="007C5340" w:rsidRDefault="00DA320E" w:rsidP="00657D3A">
      <w:pPr>
        <w:pStyle w:val="00-CUERPO"/>
        <w:spacing w:line="360" w:lineRule="auto"/>
        <w:rPr>
          <w:rFonts w:ascii="Times New Roman" w:hAnsi="Times New Roman" w:cs="Times New Roman"/>
          <w:noProof/>
          <w:vertAlign w:val="superscript"/>
        </w:rPr>
      </w:pPr>
      <w:r w:rsidRPr="007C5340">
        <w:rPr>
          <w:rFonts w:ascii="Times New Roman" w:hAnsi="Times New Roman" w:cs="Times New Roman"/>
        </w:rPr>
        <w:t xml:space="preserve">Un conglomerado de organizaciones internacionales, dentro de los cuales se incluye la OMS, reconoce a la infertilidad como una enfermedad del sistema reproductivo definida como la incapacidad de lograr un embarazo clínico después de 12 meses o más de relaciones sexuales no </w:t>
      </w:r>
      <w:proofErr w:type="gramStart"/>
      <w:r w:rsidRPr="007C5340">
        <w:rPr>
          <w:rFonts w:ascii="Times New Roman" w:hAnsi="Times New Roman" w:cs="Times New Roman"/>
        </w:rPr>
        <w:t>protegidas.</w:t>
      </w:r>
      <w:r w:rsidR="00252E9B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</w:rPr>
        <w:t>3</w:t>
      </w:r>
      <w:r w:rsidR="00252E9B" w:rsidRPr="007C5340">
        <w:rPr>
          <w:rFonts w:ascii="Times New Roman" w:hAnsi="Times New Roman" w:cs="Times New Roman"/>
          <w:noProof/>
          <w:vertAlign w:val="superscript"/>
        </w:rPr>
        <w:t>)</w:t>
      </w:r>
    </w:p>
    <w:p w:rsidR="00543166" w:rsidRPr="007C5340" w:rsidRDefault="00543166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  <w:lang w:val="es-MX"/>
        </w:rPr>
        <w:t xml:space="preserve">Las enfermedades identificadas con mayor frecuencia en la mujer son trastornos de ovulación en 40 %, la cual tiende a seguir aumentando por la postergación de la fecha del </w:t>
      </w:r>
      <w:r w:rsidRPr="007C5340">
        <w:rPr>
          <w:rFonts w:ascii="Times New Roman" w:hAnsi="Times New Roman" w:cs="Times New Roman"/>
          <w:lang w:val="es-MX"/>
        </w:rPr>
        <w:lastRenderedPageBreak/>
        <w:t>primer embarazo; la patología pélvica y de las trompas en 40 %, inexplicable en 10 % y problemas poco frecuentes como anomalías anatómicas o</w:t>
      </w:r>
      <w:r w:rsidR="00AD32CC" w:rsidRPr="007C5340">
        <w:rPr>
          <w:rFonts w:ascii="Times New Roman" w:hAnsi="Times New Roman" w:cs="Times New Roman"/>
          <w:lang w:val="es-MX"/>
        </w:rPr>
        <w:t xml:space="preserve"> enfermedades tiroideas en 10 </w:t>
      </w:r>
      <w:proofErr w:type="gramStart"/>
      <w:r w:rsidR="00AD32CC" w:rsidRPr="007C5340">
        <w:rPr>
          <w:rFonts w:ascii="Times New Roman" w:hAnsi="Times New Roman" w:cs="Times New Roman"/>
          <w:lang w:val="es-MX"/>
        </w:rPr>
        <w:t>%</w:t>
      </w:r>
      <w:r w:rsidRPr="007C5340">
        <w:rPr>
          <w:rFonts w:ascii="Times New Roman" w:hAnsi="Times New Roman" w:cs="Times New Roman"/>
          <w:lang w:val="es-MX"/>
        </w:rPr>
        <w:t>.</w:t>
      </w:r>
      <w:r w:rsidRPr="007C5340">
        <w:rPr>
          <w:rFonts w:ascii="Times New Roman" w:hAnsi="Times New Roman" w:cs="Times New Roman"/>
          <w:vertAlign w:val="superscript"/>
          <w:lang w:val="es-MX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  <w:lang w:val="es-MX"/>
        </w:rPr>
        <w:t>4</w:t>
      </w:r>
      <w:r w:rsidRPr="007C5340">
        <w:rPr>
          <w:rFonts w:ascii="Times New Roman" w:hAnsi="Times New Roman" w:cs="Times New Roman"/>
          <w:noProof/>
          <w:vertAlign w:val="superscript"/>
          <w:lang w:val="es-MX"/>
        </w:rPr>
        <w:t>)</w:t>
      </w:r>
    </w:p>
    <w:p w:rsidR="00DA320E" w:rsidRPr="007C5340" w:rsidRDefault="00DA320E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La infertilidad es un problema global y se estima que afecta entre 60 y 80 millones de mujeres y hombres en todo el mundo, pero su mayor incidencia se encuentra en los países en vías de desarrollo. Convertirse en padre y crear una familia es el objetivo de la mayoría de las parejas, sin embargo, no todas podrán lograrlo sin alguna intervención médica, por lo que ha</w:t>
      </w:r>
      <w:r w:rsidR="009341C5" w:rsidRPr="007C5340">
        <w:rPr>
          <w:rFonts w:ascii="Times New Roman" w:hAnsi="Times New Roman" w:cs="Times New Roman"/>
        </w:rPr>
        <w:t xml:space="preserve"> sido declarada un problema de s</w:t>
      </w:r>
      <w:r w:rsidRPr="007C5340">
        <w:rPr>
          <w:rFonts w:ascii="Times New Roman" w:hAnsi="Times New Roman" w:cs="Times New Roman"/>
        </w:rPr>
        <w:t>alud</w:t>
      </w:r>
      <w:r w:rsidR="009341C5" w:rsidRPr="007C5340">
        <w:rPr>
          <w:rFonts w:ascii="Times New Roman" w:hAnsi="Times New Roman" w:cs="Times New Roman"/>
        </w:rPr>
        <w:t xml:space="preserve"> p</w:t>
      </w:r>
      <w:r w:rsidRPr="007C5340">
        <w:rPr>
          <w:rFonts w:ascii="Times New Roman" w:hAnsi="Times New Roman" w:cs="Times New Roman"/>
        </w:rPr>
        <w:t xml:space="preserve">ública por la </w:t>
      </w:r>
      <w:proofErr w:type="gramStart"/>
      <w:r w:rsidRPr="007C5340">
        <w:rPr>
          <w:rFonts w:ascii="Times New Roman" w:hAnsi="Times New Roman" w:cs="Times New Roman"/>
        </w:rPr>
        <w:t>OMS.</w:t>
      </w:r>
      <w:r w:rsidR="00BF2FC5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Pr="007C5340">
        <w:rPr>
          <w:rFonts w:ascii="Times New Roman" w:hAnsi="Times New Roman" w:cs="Times New Roman"/>
          <w:noProof/>
          <w:vertAlign w:val="superscript"/>
        </w:rPr>
        <w:t>5</w:t>
      </w:r>
      <w:r w:rsidR="00BF2FC5" w:rsidRPr="007C5340">
        <w:rPr>
          <w:rFonts w:ascii="Times New Roman" w:hAnsi="Times New Roman" w:cs="Times New Roman"/>
          <w:noProof/>
          <w:vertAlign w:val="superscript"/>
        </w:rPr>
        <w:t>)</w:t>
      </w:r>
    </w:p>
    <w:p w:rsidR="00DA320E" w:rsidRPr="007C5340" w:rsidRDefault="00DA320E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Las tasas de infertilidad varían dramáticamente desde 5 % en países desarrollados hasta más del 30 % en el África Subsahariana; en tanto que en el Reino Unido se calcula que unas de cada 7 parejas son infértiles y en los Estados Unidos de Nor</w:t>
      </w:r>
      <w:r w:rsidR="0036423D" w:rsidRPr="007C5340">
        <w:rPr>
          <w:rFonts w:ascii="Times New Roman" w:hAnsi="Times New Roman" w:cs="Times New Roman"/>
        </w:rPr>
        <w:t>teamérica se estima que afecta del 10</w:t>
      </w:r>
      <w:r w:rsidRPr="007C5340">
        <w:rPr>
          <w:rFonts w:ascii="Times New Roman" w:hAnsi="Times New Roman" w:cs="Times New Roman"/>
        </w:rPr>
        <w:t xml:space="preserve">-15 % de las parejas. Además, cabe destacar que la infertilidad es un problema que ha ido en </w:t>
      </w:r>
      <w:proofErr w:type="gramStart"/>
      <w:r w:rsidRPr="007C5340">
        <w:rPr>
          <w:rFonts w:ascii="Times New Roman" w:hAnsi="Times New Roman" w:cs="Times New Roman"/>
        </w:rPr>
        <w:t>ascenso.</w:t>
      </w:r>
      <w:r w:rsidR="00210C15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</w:rPr>
        <w:t>6</w:t>
      </w:r>
      <w:r w:rsidR="00210C15" w:rsidRPr="007C5340">
        <w:rPr>
          <w:rFonts w:ascii="Times New Roman" w:hAnsi="Times New Roman" w:cs="Times New Roman"/>
          <w:noProof/>
          <w:vertAlign w:val="superscript"/>
        </w:rPr>
        <w:t>)</w:t>
      </w:r>
    </w:p>
    <w:p w:rsidR="00DA320E" w:rsidRPr="007C5340" w:rsidRDefault="00DA320E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En España la incidencia aproximada es de un 10-15 %, y s</w:t>
      </w:r>
      <w:r w:rsidR="00BC575C" w:rsidRPr="007C5340">
        <w:rPr>
          <w:rFonts w:ascii="Times New Roman" w:hAnsi="Times New Roman" w:cs="Times New Roman"/>
        </w:rPr>
        <w:t>e estima que afecta a unas 600 mil</w:t>
      </w:r>
      <w:r w:rsidR="009341C5" w:rsidRPr="007C5340">
        <w:rPr>
          <w:rFonts w:ascii="Times New Roman" w:hAnsi="Times New Roman" w:cs="Times New Roman"/>
        </w:rPr>
        <w:t xml:space="preserve"> parejas en edad </w:t>
      </w:r>
      <w:proofErr w:type="gramStart"/>
      <w:r w:rsidR="009341C5" w:rsidRPr="007C5340">
        <w:rPr>
          <w:rFonts w:ascii="Times New Roman" w:hAnsi="Times New Roman" w:cs="Times New Roman"/>
        </w:rPr>
        <w:t>reproductiva</w:t>
      </w:r>
      <w:r w:rsidRPr="007C5340">
        <w:rPr>
          <w:rFonts w:ascii="Times New Roman" w:hAnsi="Times New Roman" w:cs="Times New Roman"/>
        </w:rPr>
        <w:t>.</w:t>
      </w:r>
      <w:r w:rsidR="0032395A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</w:rPr>
        <w:t>7</w:t>
      </w:r>
      <w:r w:rsidR="0032395A" w:rsidRPr="007C5340">
        <w:rPr>
          <w:rFonts w:ascii="Times New Roman" w:hAnsi="Times New Roman" w:cs="Times New Roman"/>
          <w:noProof/>
          <w:vertAlign w:val="superscript"/>
        </w:rPr>
        <w:t>)</w:t>
      </w:r>
    </w:p>
    <w:p w:rsidR="00DA320E" w:rsidRPr="007C5340" w:rsidRDefault="0049462C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En</w:t>
      </w:r>
      <w:r w:rsidR="00DA320E" w:rsidRPr="007C5340">
        <w:rPr>
          <w:rFonts w:ascii="Times New Roman" w:hAnsi="Times New Roman" w:cs="Times New Roman"/>
        </w:rPr>
        <w:t xml:space="preserve"> Latinoamérica</w:t>
      </w:r>
      <w:r w:rsidR="00AC1EDA" w:rsidRPr="007C5340">
        <w:rPr>
          <w:rFonts w:ascii="Times New Roman" w:hAnsi="Times New Roman" w:cs="Times New Roman"/>
        </w:rPr>
        <w:t xml:space="preserve"> y el Caribe</w:t>
      </w:r>
      <w:r w:rsidR="00DA320E" w:rsidRPr="007C5340">
        <w:rPr>
          <w:rFonts w:ascii="Times New Roman" w:hAnsi="Times New Roman" w:cs="Times New Roman"/>
        </w:rPr>
        <w:t xml:space="preserve"> todavía no se reconoce que la infertilidad esté tan profundamente ligada a una baja calidad en el cuidado de la salud sexual y que tenga orígenes disímile</w:t>
      </w:r>
      <w:r w:rsidR="00D337DA" w:rsidRPr="007C5340">
        <w:rPr>
          <w:rFonts w:ascii="Times New Roman" w:hAnsi="Times New Roman" w:cs="Times New Roman"/>
        </w:rPr>
        <w:t xml:space="preserve">s en diferentes tipos de </w:t>
      </w:r>
      <w:proofErr w:type="gramStart"/>
      <w:r w:rsidR="003359E2" w:rsidRPr="007C5340">
        <w:rPr>
          <w:rFonts w:ascii="Times New Roman" w:hAnsi="Times New Roman" w:cs="Times New Roman"/>
        </w:rPr>
        <w:t>países.</w:t>
      </w:r>
      <w:r w:rsidR="003359E2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</w:rPr>
        <w:t>8</w:t>
      </w:r>
      <w:r w:rsidR="002B4219" w:rsidRPr="007C5340">
        <w:rPr>
          <w:rFonts w:ascii="Times New Roman" w:hAnsi="Times New Roman" w:cs="Times New Roman"/>
          <w:noProof/>
          <w:vertAlign w:val="superscript"/>
        </w:rPr>
        <w:t>)</w:t>
      </w:r>
    </w:p>
    <w:p w:rsidR="00DA320E" w:rsidRPr="007C5340" w:rsidRDefault="00D337DA" w:rsidP="00657D3A">
      <w:pPr>
        <w:pStyle w:val="00-CUERPO"/>
        <w:spacing w:line="360" w:lineRule="auto"/>
        <w:rPr>
          <w:rFonts w:ascii="Times New Roman" w:hAnsi="Times New Roman" w:cs="Times New Roman"/>
          <w:lang w:val="es-PE"/>
        </w:rPr>
      </w:pPr>
      <w:r w:rsidRPr="007C5340">
        <w:rPr>
          <w:rFonts w:ascii="Times New Roman" w:hAnsi="Times New Roman" w:cs="Times New Roman"/>
          <w:lang w:val="es-MX"/>
        </w:rPr>
        <w:t>En Cuba, cerca del</w:t>
      </w:r>
      <w:r w:rsidR="00DA320E" w:rsidRPr="007C5340">
        <w:rPr>
          <w:rFonts w:ascii="Times New Roman" w:hAnsi="Times New Roman" w:cs="Times New Roman"/>
          <w:lang w:val="es-MX"/>
        </w:rPr>
        <w:t xml:space="preserve"> 20 % de las parejas en edad repro</w:t>
      </w:r>
      <w:r w:rsidR="00FD130E" w:rsidRPr="007C5340">
        <w:rPr>
          <w:rFonts w:ascii="Times New Roman" w:hAnsi="Times New Roman" w:cs="Times New Roman"/>
          <w:lang w:val="es-MX"/>
        </w:rPr>
        <w:t>ductiva</w:t>
      </w:r>
      <w:r w:rsidR="00DA320E" w:rsidRPr="007C5340">
        <w:rPr>
          <w:rFonts w:ascii="Times New Roman" w:hAnsi="Times New Roman" w:cs="Times New Roman"/>
          <w:lang w:val="es-MX"/>
        </w:rPr>
        <w:t>, experimentan dificultades con su fertilidad</w:t>
      </w:r>
      <w:r w:rsidR="007C671D" w:rsidRPr="007C5340">
        <w:rPr>
          <w:rFonts w:ascii="Times New Roman" w:hAnsi="Times New Roman" w:cs="Times New Roman"/>
          <w:lang w:val="es-MX"/>
        </w:rPr>
        <w:t xml:space="preserve">, por lo que en abril del año 2007 se aprobó el Programa Nacional de Atención a la Pareja Infértil, con el objetivo </w:t>
      </w:r>
      <w:r w:rsidR="007C671D" w:rsidRPr="007C5340">
        <w:rPr>
          <w:rFonts w:ascii="Times New Roman" w:hAnsi="Times New Roman" w:cs="Times New Roman"/>
          <w:lang w:val="es-PE"/>
        </w:rPr>
        <w:t xml:space="preserve">de garantizar asistencia mediante la recepción, diagnóstico y </w:t>
      </w:r>
      <w:proofErr w:type="gramStart"/>
      <w:r w:rsidR="007C671D" w:rsidRPr="007C5340">
        <w:rPr>
          <w:rFonts w:ascii="Times New Roman" w:hAnsi="Times New Roman" w:cs="Times New Roman"/>
          <w:lang w:val="es-PE"/>
        </w:rPr>
        <w:t>tratamiento.</w:t>
      </w:r>
      <w:r w:rsidR="0094346C" w:rsidRPr="007C5340">
        <w:rPr>
          <w:rFonts w:ascii="Times New Roman" w:hAnsi="Times New Roman" w:cs="Times New Roman"/>
          <w:vertAlign w:val="superscript"/>
          <w:lang w:val="es-PE"/>
        </w:rPr>
        <w:t>(</w:t>
      </w:r>
      <w:proofErr w:type="gramEnd"/>
      <w:r w:rsidR="0094346C" w:rsidRPr="007C5340">
        <w:rPr>
          <w:rFonts w:ascii="Times New Roman" w:hAnsi="Times New Roman" w:cs="Times New Roman"/>
          <w:vertAlign w:val="superscript"/>
          <w:lang w:val="es-PE"/>
        </w:rPr>
        <w:t>9</w:t>
      </w:r>
      <w:r w:rsidR="007C671D" w:rsidRPr="007C5340">
        <w:rPr>
          <w:rFonts w:ascii="Times New Roman" w:hAnsi="Times New Roman" w:cs="Times New Roman"/>
          <w:vertAlign w:val="superscript"/>
          <w:lang w:val="es-PE"/>
        </w:rPr>
        <w:t>)</w:t>
      </w:r>
    </w:p>
    <w:p w:rsidR="00DA320E" w:rsidRPr="007C5340" w:rsidRDefault="00DA320E" w:rsidP="00657D3A">
      <w:pPr>
        <w:pStyle w:val="00-CUERPO"/>
        <w:spacing w:line="360" w:lineRule="auto"/>
        <w:rPr>
          <w:rFonts w:ascii="Times New Roman" w:hAnsi="Times New Roman" w:cs="Times New Roman"/>
          <w:lang w:val="es-PE"/>
        </w:rPr>
      </w:pPr>
      <w:r w:rsidRPr="007C5340">
        <w:rPr>
          <w:rFonts w:ascii="Times New Roman" w:hAnsi="Times New Roman" w:cs="Times New Roman"/>
          <w:lang w:val="es-PE"/>
        </w:rPr>
        <w:t>La provincia Camagüey ofrece consulta de Infertilidad desde hace varios años, pero el Servicio Provincial de Atención a la pareja Infértil comenzó a funcionar a pa</w:t>
      </w:r>
      <w:r w:rsidR="00E718EC" w:rsidRPr="007C5340">
        <w:rPr>
          <w:rFonts w:ascii="Times New Roman" w:hAnsi="Times New Roman" w:cs="Times New Roman"/>
          <w:lang w:val="es-PE"/>
        </w:rPr>
        <w:t>rtir de marzo del 2014, subordinado al Centro Terri</w:t>
      </w:r>
      <w:r w:rsidR="00A313A9" w:rsidRPr="007C5340">
        <w:rPr>
          <w:rFonts w:ascii="Times New Roman" w:hAnsi="Times New Roman" w:cs="Times New Roman"/>
          <w:lang w:val="es-PE"/>
        </w:rPr>
        <w:t>torial de Cienfuegos, realiza</w:t>
      </w:r>
      <w:r w:rsidR="00E718EC" w:rsidRPr="007C5340">
        <w:rPr>
          <w:rFonts w:ascii="Times New Roman" w:hAnsi="Times New Roman" w:cs="Times New Roman"/>
          <w:lang w:val="es-PE"/>
        </w:rPr>
        <w:t xml:space="preserve"> aproximadamente 600 consultas al año, con un promedio de 3000 parejas atendidas</w:t>
      </w:r>
      <w:r w:rsidR="00A313A9" w:rsidRPr="007C5340">
        <w:rPr>
          <w:rFonts w:ascii="Times New Roman" w:hAnsi="Times New Roman" w:cs="Times New Roman"/>
          <w:lang w:val="es-PE"/>
        </w:rPr>
        <w:t xml:space="preserve"> mediante las </w:t>
      </w:r>
      <w:r w:rsidRPr="007C5340">
        <w:rPr>
          <w:rFonts w:ascii="Times New Roman" w:hAnsi="Times New Roman" w:cs="Times New Roman"/>
          <w:lang w:val="es-PE"/>
        </w:rPr>
        <w:t xml:space="preserve">consultas </w:t>
      </w:r>
      <w:r w:rsidR="00A313A9" w:rsidRPr="007C5340">
        <w:rPr>
          <w:rFonts w:ascii="Times New Roman" w:hAnsi="Times New Roman" w:cs="Times New Roman"/>
          <w:lang w:val="es-PE"/>
        </w:rPr>
        <w:t xml:space="preserve">multidisciplinarias </w:t>
      </w:r>
      <w:r w:rsidRPr="007C5340">
        <w:rPr>
          <w:rFonts w:ascii="Times New Roman" w:hAnsi="Times New Roman" w:cs="Times New Roman"/>
          <w:lang w:val="es-PE"/>
        </w:rPr>
        <w:t>de</w:t>
      </w:r>
      <w:r w:rsidR="00234B6D" w:rsidRPr="007C5340">
        <w:rPr>
          <w:rFonts w:ascii="Times New Roman" w:hAnsi="Times New Roman" w:cs="Times New Roman"/>
          <w:lang w:val="es-PE"/>
        </w:rPr>
        <w:t xml:space="preserve"> Ginecología de la Reproducción y control del trabajo en la Atención </w:t>
      </w:r>
      <w:r w:rsidR="00234B6D" w:rsidRPr="007C5340">
        <w:rPr>
          <w:rFonts w:ascii="Times New Roman" w:hAnsi="Times New Roman" w:cs="Times New Roman"/>
          <w:lang w:val="es-PE"/>
        </w:rPr>
        <w:lastRenderedPageBreak/>
        <w:t>Primaria de Salud (APS), sitio de inicio del mismo y de donde deben proceder la ma</w:t>
      </w:r>
      <w:r w:rsidR="00A313A9" w:rsidRPr="007C5340">
        <w:rPr>
          <w:rFonts w:ascii="Times New Roman" w:hAnsi="Times New Roman" w:cs="Times New Roman"/>
          <w:lang w:val="es-PE"/>
        </w:rPr>
        <w:t>yoría de las parejas</w:t>
      </w:r>
      <w:r w:rsidRPr="007C5340">
        <w:rPr>
          <w:rFonts w:ascii="Times New Roman" w:hAnsi="Times New Roman" w:cs="Times New Roman"/>
          <w:lang w:val="es-PE"/>
        </w:rPr>
        <w:t>.</w:t>
      </w:r>
      <w:r w:rsidR="00E718EC" w:rsidRPr="007C5340">
        <w:rPr>
          <w:rFonts w:ascii="Times New Roman" w:hAnsi="Times New Roman" w:cs="Times New Roman"/>
          <w:vertAlign w:val="superscript"/>
          <w:lang w:val="es-PE"/>
        </w:rPr>
        <w:t>(</w:t>
      </w:r>
      <w:r w:rsidR="0094346C" w:rsidRPr="007C5340">
        <w:rPr>
          <w:rFonts w:ascii="Times New Roman" w:hAnsi="Times New Roman" w:cs="Times New Roman"/>
          <w:noProof/>
          <w:vertAlign w:val="superscript"/>
          <w:lang w:val="es-PE"/>
        </w:rPr>
        <w:t>9</w:t>
      </w:r>
      <w:r w:rsidR="00E718EC" w:rsidRPr="007C5340">
        <w:rPr>
          <w:rFonts w:ascii="Times New Roman" w:hAnsi="Times New Roman" w:cs="Times New Roman"/>
          <w:noProof/>
          <w:vertAlign w:val="superscript"/>
          <w:lang w:val="es-PE"/>
        </w:rPr>
        <w:t>)</w:t>
      </w:r>
    </w:p>
    <w:p w:rsidR="00DA320E" w:rsidRPr="007C5340" w:rsidRDefault="00086CC1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BO"/>
        </w:rPr>
      </w:pPr>
      <w:r w:rsidRPr="007C5340">
        <w:rPr>
          <w:rFonts w:ascii="Times New Roman" w:hAnsi="Times New Roman"/>
          <w:sz w:val="24"/>
          <w:szCs w:val="24"/>
          <w:lang w:val="es-PE"/>
        </w:rPr>
        <w:t>Atendiendo al impacto social</w:t>
      </w:r>
      <w:r w:rsidR="00166487" w:rsidRPr="007C5340">
        <w:rPr>
          <w:rFonts w:ascii="Times New Roman" w:hAnsi="Times New Roman"/>
          <w:sz w:val="24"/>
          <w:szCs w:val="24"/>
          <w:lang w:val="es-PE"/>
        </w:rPr>
        <w:t xml:space="preserve"> y a </w:t>
      </w:r>
      <w:r w:rsidRPr="007C5340">
        <w:rPr>
          <w:rFonts w:ascii="Times New Roman" w:hAnsi="Times New Roman"/>
          <w:sz w:val="24"/>
          <w:szCs w:val="24"/>
          <w:lang w:val="es-PE"/>
        </w:rPr>
        <w:t xml:space="preserve">la </w:t>
      </w:r>
      <w:r w:rsidR="00166487" w:rsidRPr="007C5340">
        <w:rPr>
          <w:rFonts w:ascii="Times New Roman" w:hAnsi="Times New Roman"/>
          <w:sz w:val="24"/>
          <w:szCs w:val="24"/>
          <w:lang w:val="es-PE"/>
        </w:rPr>
        <w:t>necesidad de difundir los resultados obtenidos</w:t>
      </w:r>
      <w:r w:rsidRPr="007C5340">
        <w:rPr>
          <w:rFonts w:ascii="Times New Roman" w:hAnsi="Times New Roman"/>
          <w:sz w:val="24"/>
          <w:szCs w:val="24"/>
          <w:lang w:val="es-PE"/>
        </w:rPr>
        <w:t>,</w:t>
      </w:r>
      <w:r w:rsidRPr="007C5340">
        <w:rPr>
          <w:rFonts w:ascii="Times New Roman" w:hAnsi="Times New Roman"/>
          <w:sz w:val="24"/>
          <w:szCs w:val="24"/>
        </w:rPr>
        <w:t xml:space="preserve"> nos proponemos dar a</w:t>
      </w:r>
      <w:r w:rsidR="00724E1B" w:rsidRPr="007C5340">
        <w:rPr>
          <w:rFonts w:ascii="Times New Roman" w:hAnsi="Times New Roman"/>
          <w:sz w:val="24"/>
          <w:szCs w:val="24"/>
        </w:rPr>
        <w:t xml:space="preserve"> conocer algunas variables socio-epidemiológicas </w:t>
      </w:r>
      <w:r w:rsidR="00DA320E" w:rsidRPr="007C5340">
        <w:rPr>
          <w:rFonts w:ascii="Times New Roman" w:hAnsi="Times New Roman"/>
          <w:sz w:val="24"/>
          <w:szCs w:val="24"/>
        </w:rPr>
        <w:t>de</w:t>
      </w:r>
      <w:r w:rsidR="00724E1B" w:rsidRPr="007C5340">
        <w:rPr>
          <w:rFonts w:ascii="Times New Roman" w:hAnsi="Times New Roman"/>
          <w:sz w:val="24"/>
          <w:szCs w:val="24"/>
        </w:rPr>
        <w:t xml:space="preserve"> la infertilidad femenina en </w:t>
      </w:r>
      <w:r w:rsidR="00DA320E" w:rsidRPr="007C5340">
        <w:rPr>
          <w:rFonts w:ascii="Times New Roman" w:hAnsi="Times New Roman"/>
          <w:sz w:val="24"/>
          <w:szCs w:val="24"/>
        </w:rPr>
        <w:t>muj</w:t>
      </w:r>
      <w:r w:rsidR="00724E1B" w:rsidRPr="007C5340">
        <w:rPr>
          <w:rFonts w:ascii="Times New Roman" w:hAnsi="Times New Roman"/>
          <w:sz w:val="24"/>
          <w:szCs w:val="24"/>
        </w:rPr>
        <w:t>eres atendidas en el Centro Provincial de Reproducción Asistida de Camagüey, durante el año</w:t>
      </w:r>
      <w:r w:rsidR="009341C5" w:rsidRPr="007C5340">
        <w:rPr>
          <w:rFonts w:ascii="Times New Roman" w:hAnsi="Times New Roman"/>
          <w:sz w:val="24"/>
          <w:szCs w:val="24"/>
        </w:rPr>
        <w:t xml:space="preserve"> 2021.</w:t>
      </w:r>
    </w:p>
    <w:p w:rsidR="008B7451" w:rsidRDefault="008B7451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BO"/>
        </w:rPr>
      </w:pPr>
    </w:p>
    <w:p w:rsidR="00B92A1F" w:rsidRPr="007C5340" w:rsidRDefault="008B7451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BO"/>
        </w:rPr>
      </w:pPr>
      <w:r>
        <w:rPr>
          <w:rFonts w:ascii="Times New Roman" w:hAnsi="Times New Roman"/>
          <w:b/>
          <w:sz w:val="24"/>
          <w:szCs w:val="24"/>
          <w:lang w:val="es-BO"/>
        </w:rPr>
        <w:t>MÉTODOS</w:t>
      </w:r>
    </w:p>
    <w:p w:rsidR="00610E49" w:rsidRPr="007C5340" w:rsidRDefault="00610E49" w:rsidP="00657D3A">
      <w:pPr>
        <w:pStyle w:val="00-CUERPO"/>
        <w:spacing w:before="0" w:line="360" w:lineRule="auto"/>
        <w:rPr>
          <w:rFonts w:ascii="Times New Roman" w:hAnsi="Times New Roman" w:cs="Times New Roman"/>
        </w:rPr>
      </w:pPr>
      <w:bookmarkStart w:id="0" w:name="Tipo_estudio"/>
      <w:r w:rsidRPr="007C5340">
        <w:rPr>
          <w:rFonts w:ascii="Times New Roman" w:hAnsi="Times New Roman" w:cs="Times New Roman"/>
        </w:rPr>
        <w:t>Se realizó un estudio observacional descriptivo</w:t>
      </w:r>
      <w:r w:rsidR="00312C26" w:rsidRPr="007C5340">
        <w:rPr>
          <w:rFonts w:ascii="Times New Roman" w:hAnsi="Times New Roman" w:cs="Times New Roman"/>
        </w:rPr>
        <w:t>,</w:t>
      </w:r>
      <w:r w:rsidRPr="007C5340">
        <w:rPr>
          <w:rFonts w:ascii="Times New Roman" w:hAnsi="Times New Roman" w:cs="Times New Roman"/>
        </w:rPr>
        <w:t xml:space="preserve"> longitudinal retrospectivo, </w:t>
      </w:r>
      <w:r w:rsidR="001D61B0" w:rsidRPr="007C5340">
        <w:rPr>
          <w:rFonts w:ascii="Times New Roman" w:hAnsi="Times New Roman" w:cs="Times New Roman"/>
        </w:rPr>
        <w:t>con</w:t>
      </w:r>
      <w:r w:rsidR="00312C26" w:rsidRPr="007C5340">
        <w:rPr>
          <w:rFonts w:ascii="Times New Roman" w:hAnsi="Times New Roman" w:cs="Times New Roman"/>
        </w:rPr>
        <w:t xml:space="preserve"> el</w:t>
      </w:r>
      <w:r w:rsidR="001D61B0" w:rsidRPr="007C5340">
        <w:rPr>
          <w:rFonts w:ascii="Times New Roman" w:hAnsi="Times New Roman" w:cs="Times New Roman"/>
        </w:rPr>
        <w:t xml:space="preserve"> </w:t>
      </w:r>
      <w:r w:rsidRPr="007C5340">
        <w:rPr>
          <w:rFonts w:ascii="Times New Roman" w:hAnsi="Times New Roman" w:cs="Times New Roman"/>
        </w:rPr>
        <w:t xml:space="preserve">objetivo de </w:t>
      </w:r>
      <w:r w:rsidR="00B46164" w:rsidRPr="007C5340">
        <w:rPr>
          <w:rFonts w:ascii="Times New Roman" w:hAnsi="Times New Roman" w:cs="Times New Roman"/>
        </w:rPr>
        <w:fldChar w:fldCharType="begin"/>
      </w:r>
      <w:r w:rsidR="00B46164" w:rsidRPr="007C5340">
        <w:rPr>
          <w:rFonts w:ascii="Times New Roman" w:hAnsi="Times New Roman" w:cs="Times New Roman"/>
        </w:rPr>
        <w:instrText xml:space="preserve"> REF Objetivo \h  \* MERGEFORMAT </w:instrText>
      </w:r>
      <w:r w:rsidR="00B46164" w:rsidRPr="007C5340">
        <w:rPr>
          <w:rFonts w:ascii="Times New Roman" w:hAnsi="Times New Roman" w:cs="Times New Roman"/>
        </w:rPr>
      </w:r>
      <w:r w:rsidR="00B46164" w:rsidRPr="007C5340">
        <w:rPr>
          <w:rFonts w:ascii="Times New Roman" w:hAnsi="Times New Roman" w:cs="Times New Roman"/>
        </w:rPr>
        <w:fldChar w:fldCharType="separate"/>
      </w:r>
      <w:r w:rsidRPr="007C5340">
        <w:rPr>
          <w:rFonts w:ascii="Times New Roman" w:hAnsi="Times New Roman" w:cs="Times New Roman"/>
        </w:rPr>
        <w:t xml:space="preserve">caracterizar </w:t>
      </w:r>
      <w:r w:rsidR="00B46164" w:rsidRPr="007C5340">
        <w:rPr>
          <w:rFonts w:ascii="Times New Roman" w:hAnsi="Times New Roman" w:cs="Times New Roman"/>
        </w:rPr>
        <w:fldChar w:fldCharType="end"/>
      </w:r>
      <w:r w:rsidRPr="007C5340">
        <w:rPr>
          <w:rFonts w:ascii="Times New Roman" w:hAnsi="Times New Roman" w:cs="Times New Roman"/>
        </w:rPr>
        <w:t>algunas variables socio-epidemiológicas de la infertilidad femenina en la provincia</w:t>
      </w:r>
      <w:r w:rsidR="00312C26" w:rsidRPr="007C5340">
        <w:rPr>
          <w:rFonts w:ascii="Times New Roman" w:hAnsi="Times New Roman" w:cs="Times New Roman"/>
        </w:rPr>
        <w:t xml:space="preserve"> </w:t>
      </w:r>
      <w:r w:rsidRPr="007C5340">
        <w:rPr>
          <w:rFonts w:ascii="Times New Roman" w:hAnsi="Times New Roman" w:cs="Times New Roman"/>
        </w:rPr>
        <w:t xml:space="preserve">Camagüey, específicamente en el Servicio de Reproducción Asistida del </w:t>
      </w:r>
      <w:r w:rsidR="0059547F" w:rsidRPr="007C5340">
        <w:rPr>
          <w:rFonts w:ascii="Times New Roman" w:hAnsi="Times New Roman" w:cs="Times New Roman"/>
        </w:rPr>
        <w:fldChar w:fldCharType="begin"/>
      </w:r>
      <w:r w:rsidRPr="007C5340">
        <w:rPr>
          <w:rFonts w:ascii="Times New Roman" w:hAnsi="Times New Roman" w:cs="Times New Roman"/>
        </w:rPr>
        <w:instrText xml:space="preserve"> Institución </w:instrText>
      </w:r>
      <w:r w:rsidR="0059547F" w:rsidRPr="007C5340">
        <w:rPr>
          <w:rFonts w:ascii="Times New Roman" w:hAnsi="Times New Roman" w:cs="Times New Roman"/>
        </w:rPr>
        <w:fldChar w:fldCharType="separate"/>
      </w:r>
      <w:r w:rsidRPr="007C5340">
        <w:rPr>
          <w:rFonts w:ascii="Times New Roman" w:hAnsi="Times New Roman" w:cs="Times New Roman"/>
        </w:rPr>
        <w:t xml:space="preserve">Hospital </w:t>
      </w:r>
      <w:proofErr w:type="spellStart"/>
      <w:r w:rsidRPr="007C5340">
        <w:rPr>
          <w:rFonts w:ascii="Times New Roman" w:hAnsi="Times New Roman" w:cs="Times New Roman"/>
        </w:rPr>
        <w:t>Ginecobstétrico</w:t>
      </w:r>
      <w:proofErr w:type="spellEnd"/>
      <w:r w:rsidRPr="007C5340">
        <w:rPr>
          <w:rFonts w:ascii="Times New Roman" w:hAnsi="Times New Roman" w:cs="Times New Roman"/>
        </w:rPr>
        <w:t xml:space="preserve"> Provincial "Ana Betancourt de Mora</w:t>
      </w:r>
      <w:r w:rsidR="0059547F" w:rsidRPr="007C5340">
        <w:rPr>
          <w:rFonts w:ascii="Times New Roman" w:hAnsi="Times New Roman" w:cs="Times New Roman"/>
        </w:rPr>
        <w:fldChar w:fldCharType="end"/>
      </w:r>
      <w:r w:rsidRPr="007C5340">
        <w:rPr>
          <w:rFonts w:ascii="Times New Roman" w:hAnsi="Times New Roman" w:cs="Times New Roman"/>
        </w:rPr>
        <w:t>”, d</w:t>
      </w:r>
      <w:bookmarkEnd w:id="0"/>
      <w:r w:rsidRPr="007C5340">
        <w:rPr>
          <w:rFonts w:ascii="Times New Roman" w:hAnsi="Times New Roman" w:cs="Times New Roman"/>
        </w:rPr>
        <w:t>urante el periodo de enero a diciembre de 2021.</w:t>
      </w:r>
    </w:p>
    <w:p w:rsidR="00610E49" w:rsidRPr="007C5340" w:rsidRDefault="00610E49" w:rsidP="00657D3A">
      <w:pPr>
        <w:pStyle w:val="00-CUERPO"/>
        <w:spacing w:before="0" w:line="360" w:lineRule="auto"/>
        <w:rPr>
          <w:rFonts w:ascii="Times New Roman" w:hAnsi="Times New Roman" w:cs="Times New Roman"/>
        </w:rPr>
      </w:pPr>
      <w:bookmarkStart w:id="1" w:name="Universo"/>
      <w:r w:rsidRPr="007C5340">
        <w:rPr>
          <w:rFonts w:ascii="Times New Roman" w:hAnsi="Times New Roman" w:cs="Times New Roman"/>
        </w:rPr>
        <w:t xml:space="preserve">El universo estuvo compuesto </w:t>
      </w:r>
      <w:r w:rsidR="009E25A0" w:rsidRPr="007C5340">
        <w:rPr>
          <w:rFonts w:ascii="Times New Roman" w:hAnsi="Times New Roman" w:cs="Times New Roman"/>
        </w:rPr>
        <w:t>por 304</w:t>
      </w:r>
      <w:r w:rsidRPr="007C5340">
        <w:rPr>
          <w:rFonts w:ascii="Times New Roman" w:hAnsi="Times New Roman" w:cs="Times New Roman"/>
        </w:rPr>
        <w:t xml:space="preserve"> pacientes con </w:t>
      </w:r>
      <w:bookmarkStart w:id="2" w:name="Diagnóstico"/>
      <w:r w:rsidRPr="007C5340">
        <w:rPr>
          <w:rFonts w:ascii="Times New Roman" w:hAnsi="Times New Roman" w:cs="Times New Roman"/>
        </w:rPr>
        <w:t>diagnóstico de infertilidad</w:t>
      </w:r>
      <w:bookmarkEnd w:id="2"/>
      <w:r w:rsidR="00DF084D" w:rsidRPr="007C5340">
        <w:rPr>
          <w:rFonts w:ascii="Times New Roman" w:hAnsi="Times New Roman" w:cs="Times New Roman"/>
        </w:rPr>
        <w:t>, atendida</w:t>
      </w:r>
      <w:r w:rsidRPr="007C5340">
        <w:rPr>
          <w:rFonts w:ascii="Times New Roman" w:hAnsi="Times New Roman" w:cs="Times New Roman"/>
        </w:rPr>
        <w:t xml:space="preserve">s en la mencionada institución asistencial y docente durante el periodo de tiempo antes mencionado. </w:t>
      </w:r>
      <w:r w:rsidR="009E25A0" w:rsidRPr="007C5340">
        <w:rPr>
          <w:rFonts w:ascii="Times New Roman" w:hAnsi="Times New Roman" w:cs="Times New Roman"/>
          <w:bCs/>
        </w:rPr>
        <w:t>Se trabajó con la totalidad de l</w:t>
      </w:r>
      <w:r w:rsidR="00211C2A" w:rsidRPr="007C5340">
        <w:rPr>
          <w:rFonts w:ascii="Times New Roman" w:hAnsi="Times New Roman" w:cs="Times New Roman"/>
          <w:bCs/>
        </w:rPr>
        <w:t>a</w:t>
      </w:r>
      <w:r w:rsidR="00E00158" w:rsidRPr="007C5340">
        <w:rPr>
          <w:rFonts w:ascii="Times New Roman" w:hAnsi="Times New Roman" w:cs="Times New Roman"/>
          <w:bCs/>
        </w:rPr>
        <w:t>s pacientes (población objeto), ya que cumplieron con los</w:t>
      </w:r>
      <w:r w:rsidR="00291D4A">
        <w:rPr>
          <w:rFonts w:ascii="Times New Roman" w:hAnsi="Times New Roman" w:cs="Times New Roman"/>
          <w:bCs/>
        </w:rPr>
        <w:t xml:space="preserve"> criterios de selección:</w:t>
      </w:r>
    </w:p>
    <w:bookmarkEnd w:id="1"/>
    <w:p w:rsidR="00610E49" w:rsidRPr="007C5340" w:rsidRDefault="00610E49" w:rsidP="00657D3A">
      <w:pPr>
        <w:pStyle w:val="Estilo1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Criterios de inclusión</w:t>
      </w:r>
    </w:p>
    <w:p w:rsidR="00610E49" w:rsidRPr="007C5340" w:rsidRDefault="00610E49" w:rsidP="00657D3A">
      <w:pPr>
        <w:pStyle w:val="Estilo1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Pacientes con edad</w:t>
      </w:r>
      <w:r w:rsidR="008F2EDA" w:rsidRPr="007C5340">
        <w:rPr>
          <w:rFonts w:ascii="Times New Roman" w:hAnsi="Times New Roman" w:cs="Times New Roman"/>
        </w:rPr>
        <w:t xml:space="preserve"> comprendida entre 20 y 40 años, </w:t>
      </w:r>
      <w:r w:rsidRPr="007C5340">
        <w:rPr>
          <w:rFonts w:ascii="Times New Roman" w:hAnsi="Times New Roman" w:cs="Times New Roman"/>
        </w:rPr>
        <w:t>que accedieron a participar en la investigación mediante la firma del con</w:t>
      </w:r>
      <w:r w:rsidR="002C4CF8" w:rsidRPr="007C5340">
        <w:rPr>
          <w:rFonts w:ascii="Times New Roman" w:hAnsi="Times New Roman" w:cs="Times New Roman"/>
        </w:rPr>
        <w:t>sentimiento informado.</w:t>
      </w:r>
    </w:p>
    <w:p w:rsidR="00610E49" w:rsidRPr="007C5340" w:rsidRDefault="00610E49" w:rsidP="00657D3A">
      <w:pPr>
        <w:pStyle w:val="Estilo1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Criterios de exclusión</w:t>
      </w:r>
    </w:p>
    <w:p w:rsidR="00610E49" w:rsidRPr="007C5340" w:rsidRDefault="00610E49" w:rsidP="00657D3A">
      <w:pPr>
        <w:pStyle w:val="Estilo1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 xml:space="preserve">Pacientes cuyos datos resultaron insuficientes para completar la </w:t>
      </w:r>
      <w:r w:rsidR="008F2EDA" w:rsidRPr="007C5340">
        <w:rPr>
          <w:rFonts w:ascii="Times New Roman" w:hAnsi="Times New Roman" w:cs="Times New Roman"/>
        </w:rPr>
        <w:t xml:space="preserve">investigación o </w:t>
      </w:r>
      <w:r w:rsidRPr="007C5340">
        <w:rPr>
          <w:rFonts w:ascii="Times New Roman" w:hAnsi="Times New Roman" w:cs="Times New Roman"/>
        </w:rPr>
        <w:t>que abandonaron el tratamiento en alguna de sus fases.</w:t>
      </w:r>
    </w:p>
    <w:p w:rsidR="00E77567" w:rsidRPr="007C5340" w:rsidRDefault="00D8041F" w:rsidP="00657D3A">
      <w:pPr>
        <w:pStyle w:val="Estilo1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Las va</w:t>
      </w:r>
      <w:r w:rsidR="00FA30AE" w:rsidRPr="007C5340">
        <w:rPr>
          <w:rFonts w:ascii="Times New Roman" w:hAnsi="Times New Roman" w:cs="Times New Roman"/>
        </w:rPr>
        <w:t>riables analizadas incluyeron: g</w:t>
      </w:r>
      <w:r w:rsidRPr="007C5340">
        <w:rPr>
          <w:rFonts w:ascii="Times New Roman" w:hAnsi="Times New Roman" w:cs="Times New Roman"/>
        </w:rPr>
        <w:t>rupo etario</w:t>
      </w:r>
      <w:r w:rsidR="00881F82">
        <w:rPr>
          <w:rFonts w:ascii="Times New Roman" w:hAnsi="Times New Roman" w:cs="Times New Roman"/>
        </w:rPr>
        <w:t>,</w:t>
      </w:r>
      <w:r w:rsidR="001457CB">
        <w:rPr>
          <w:rFonts w:ascii="Times New Roman" w:hAnsi="Times New Roman" w:cs="Times New Roman"/>
        </w:rPr>
        <w:t xml:space="preserve"> compuesto por los conjuntos de 20-24 años, 25-29, 30-34, 35-39, y 40 años</w:t>
      </w:r>
      <w:r w:rsidR="00666B5B">
        <w:rPr>
          <w:rFonts w:ascii="Times New Roman" w:hAnsi="Times New Roman" w:cs="Times New Roman"/>
        </w:rPr>
        <w:t>;</w:t>
      </w:r>
      <w:r w:rsidRPr="007C5340">
        <w:rPr>
          <w:rFonts w:ascii="Times New Roman" w:hAnsi="Times New Roman" w:cs="Times New Roman"/>
        </w:rPr>
        <w:t xml:space="preserve"> tipo de infertilidad</w:t>
      </w:r>
      <w:r w:rsidR="00881F82">
        <w:rPr>
          <w:rFonts w:ascii="Times New Roman" w:hAnsi="Times New Roman" w:cs="Times New Roman"/>
        </w:rPr>
        <w:t>,</w:t>
      </w:r>
      <w:r w:rsidR="001457CB">
        <w:rPr>
          <w:rFonts w:ascii="Times New Roman" w:hAnsi="Times New Roman" w:cs="Times New Roman"/>
        </w:rPr>
        <w:t xml:space="preserve"> en primaria y secundaria</w:t>
      </w:r>
      <w:r w:rsidR="00666B5B">
        <w:rPr>
          <w:rFonts w:ascii="Times New Roman" w:hAnsi="Times New Roman" w:cs="Times New Roman"/>
        </w:rPr>
        <w:t>;</w:t>
      </w:r>
      <w:r w:rsidR="00881F82">
        <w:rPr>
          <w:rFonts w:ascii="Times New Roman" w:hAnsi="Times New Roman" w:cs="Times New Roman"/>
        </w:rPr>
        <w:t xml:space="preserve"> municipio de origen, atendiendo a la d</w:t>
      </w:r>
      <w:r w:rsidR="00666B5B">
        <w:rPr>
          <w:rFonts w:ascii="Times New Roman" w:hAnsi="Times New Roman" w:cs="Times New Roman"/>
        </w:rPr>
        <w:t>ivisión político-administrativa;</w:t>
      </w:r>
      <w:r w:rsidRPr="007C5340">
        <w:rPr>
          <w:rFonts w:ascii="Times New Roman" w:hAnsi="Times New Roman" w:cs="Times New Roman"/>
        </w:rPr>
        <w:t xml:space="preserve"> incidencia,</w:t>
      </w:r>
      <w:r w:rsidR="00881F82">
        <w:rPr>
          <w:rFonts w:ascii="Times New Roman" w:hAnsi="Times New Roman" w:cs="Times New Roman"/>
        </w:rPr>
        <w:t xml:space="preserve"> calculada en relación al total de mujeres en edad fértil por territorios y grupos e</w:t>
      </w:r>
      <w:r w:rsidR="00666B5B">
        <w:rPr>
          <w:rFonts w:ascii="Times New Roman" w:hAnsi="Times New Roman" w:cs="Times New Roman"/>
        </w:rPr>
        <w:t>tarios;</w:t>
      </w:r>
      <w:r w:rsidRPr="007C5340">
        <w:rPr>
          <w:rFonts w:ascii="Times New Roman" w:hAnsi="Times New Roman" w:cs="Times New Roman"/>
        </w:rPr>
        <w:t xml:space="preserve"> nivel educacional,</w:t>
      </w:r>
      <w:r w:rsidR="00666B5B">
        <w:rPr>
          <w:rFonts w:ascii="Times New Roman" w:hAnsi="Times New Roman" w:cs="Times New Roman"/>
        </w:rPr>
        <w:t xml:space="preserve"> -en dependencia del grado escolar terminado-, primario, con 6to grado terminado, pero sin terminar el 9no; secundario, con 9no grado culminado, sin llegar a </w:t>
      </w:r>
      <w:r w:rsidR="00666B5B">
        <w:rPr>
          <w:rFonts w:ascii="Times New Roman" w:hAnsi="Times New Roman" w:cs="Times New Roman"/>
        </w:rPr>
        <w:lastRenderedPageBreak/>
        <w:t>vencer el 12mo grado; preuniversitario, con el 12mo grado</w:t>
      </w:r>
      <w:r w:rsidR="00CC40A2">
        <w:rPr>
          <w:rFonts w:ascii="Times New Roman" w:hAnsi="Times New Roman" w:cs="Times New Roman"/>
        </w:rPr>
        <w:t xml:space="preserve"> </w:t>
      </w:r>
      <w:r w:rsidR="009F0ECF">
        <w:rPr>
          <w:rFonts w:ascii="Times New Roman" w:hAnsi="Times New Roman" w:cs="Times New Roman"/>
        </w:rPr>
        <w:t xml:space="preserve">acabado, y sin haber concluido la universidad; entretanto el nivel universitario comprendió la universidad superada, con titulación; </w:t>
      </w:r>
      <w:r w:rsidRPr="007C5340">
        <w:rPr>
          <w:rFonts w:ascii="Times New Roman" w:hAnsi="Times New Roman" w:cs="Times New Roman"/>
        </w:rPr>
        <w:t>hábitos tóxicos,</w:t>
      </w:r>
      <w:r w:rsidR="009F0ECF">
        <w:rPr>
          <w:rFonts w:ascii="Times New Roman" w:hAnsi="Times New Roman" w:cs="Times New Roman"/>
        </w:rPr>
        <w:t xml:space="preserve"> en dependencia de los referidos por las pacientes objeto de estudio;</w:t>
      </w:r>
      <w:r w:rsidRPr="007C5340">
        <w:rPr>
          <w:rFonts w:ascii="Times New Roman" w:hAnsi="Times New Roman" w:cs="Times New Roman"/>
        </w:rPr>
        <w:t xml:space="preserve"> factores de riesgo</w:t>
      </w:r>
      <w:r w:rsidR="009F0ECF">
        <w:rPr>
          <w:rFonts w:ascii="Times New Roman" w:hAnsi="Times New Roman" w:cs="Times New Roman"/>
        </w:rPr>
        <w:t xml:space="preserve"> ginecológicos</w:t>
      </w:r>
      <w:r w:rsidRPr="007C5340">
        <w:rPr>
          <w:rFonts w:ascii="Times New Roman" w:hAnsi="Times New Roman" w:cs="Times New Roman"/>
        </w:rPr>
        <w:t>,</w:t>
      </w:r>
      <w:r w:rsidR="009F0ECF">
        <w:rPr>
          <w:rFonts w:ascii="Times New Roman" w:hAnsi="Times New Roman" w:cs="Times New Roman"/>
        </w:rPr>
        <w:t xml:space="preserve"> obtenidos durante interrogatorio;</w:t>
      </w:r>
      <w:r w:rsidRPr="007C5340">
        <w:rPr>
          <w:rFonts w:ascii="Times New Roman" w:hAnsi="Times New Roman" w:cs="Times New Roman"/>
        </w:rPr>
        <w:t xml:space="preserve"> antecedentes patológicos personales,</w:t>
      </w:r>
      <w:r w:rsidR="009F0ECF">
        <w:rPr>
          <w:rFonts w:ascii="Times New Roman" w:hAnsi="Times New Roman" w:cs="Times New Roman"/>
        </w:rPr>
        <w:t xml:space="preserve"> </w:t>
      </w:r>
      <w:r w:rsidRPr="007C5340">
        <w:rPr>
          <w:rFonts w:ascii="Times New Roman" w:hAnsi="Times New Roman" w:cs="Times New Roman"/>
        </w:rPr>
        <w:t>total de embarazos logrados</w:t>
      </w:r>
      <w:r w:rsidR="009F0ECF">
        <w:rPr>
          <w:rFonts w:ascii="Times New Roman" w:hAnsi="Times New Roman" w:cs="Times New Roman"/>
        </w:rPr>
        <w:t>,</w:t>
      </w:r>
      <w:r w:rsidRPr="007C5340">
        <w:rPr>
          <w:rFonts w:ascii="Times New Roman" w:hAnsi="Times New Roman" w:cs="Times New Roman"/>
        </w:rPr>
        <w:t xml:space="preserve"> y remisión a la atención terciaria. </w:t>
      </w:r>
    </w:p>
    <w:p w:rsidR="00DF084D" w:rsidRDefault="00DF084D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5340">
        <w:rPr>
          <w:rFonts w:ascii="Times New Roman" w:hAnsi="Times New Roman"/>
          <w:sz w:val="24"/>
          <w:szCs w:val="24"/>
        </w:rPr>
        <w:t>Los datos se procesaron en una microcomputadora Pentium IV, ut</w:t>
      </w:r>
      <w:r w:rsidR="00F45004" w:rsidRPr="007C5340">
        <w:rPr>
          <w:rFonts w:ascii="Times New Roman" w:hAnsi="Times New Roman"/>
          <w:sz w:val="24"/>
          <w:szCs w:val="24"/>
        </w:rPr>
        <w:t xml:space="preserve">ilizando el paquete estadístico </w:t>
      </w:r>
      <w:r w:rsidRPr="007C5340">
        <w:rPr>
          <w:rFonts w:ascii="Times New Roman" w:hAnsi="Times New Roman"/>
          <w:sz w:val="24"/>
          <w:szCs w:val="24"/>
        </w:rPr>
        <w:t>SPSS versión 23.0. Se realizó distribución de frecuencia a todas las variables en estudio y se presentaron los resultados en frecuencias absolutas y relativas, en tablas de distribución de frecuencia y gráficos</w:t>
      </w:r>
      <w:r w:rsidR="00F03EF1" w:rsidRPr="007C5340">
        <w:rPr>
          <w:rFonts w:ascii="Times New Roman" w:hAnsi="Times New Roman"/>
          <w:sz w:val="24"/>
          <w:szCs w:val="24"/>
        </w:rPr>
        <w:t>,</w:t>
      </w:r>
      <w:r w:rsidRPr="007C5340">
        <w:rPr>
          <w:rFonts w:ascii="Times New Roman" w:hAnsi="Times New Roman"/>
          <w:sz w:val="24"/>
          <w:szCs w:val="24"/>
        </w:rPr>
        <w:t xml:space="preserve"> para facilitar su análisis y arribar a conclusiones.</w:t>
      </w:r>
    </w:p>
    <w:p w:rsidR="001C5877" w:rsidRPr="007C5340" w:rsidRDefault="00C75592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la tabla 1 se entrecruzaron las variables grupo etario y tipo de infertilidad, mientras en la tabla 2 se determinó la tasa de incidencia por municipios, así como el intervalo de confianza al 95 %.</w:t>
      </w:r>
    </w:p>
    <w:p w:rsidR="00DF084D" w:rsidRPr="007C5340" w:rsidRDefault="00DF084D" w:rsidP="00657D3A">
      <w:pPr>
        <w:spacing w:after="200" w:line="360" w:lineRule="auto"/>
        <w:jc w:val="both"/>
        <w:rPr>
          <w:rFonts w:ascii="Times New Roman" w:hAnsi="Times New Roman"/>
          <w:spacing w:val="-3"/>
          <w:sz w:val="24"/>
          <w:szCs w:val="24"/>
          <w:lang w:val="es-ES"/>
        </w:rPr>
      </w:pPr>
      <w:r w:rsidRPr="007C5340">
        <w:rPr>
          <w:rFonts w:ascii="Times New Roman" w:hAnsi="Times New Roman"/>
          <w:spacing w:val="-3"/>
          <w:sz w:val="24"/>
          <w:szCs w:val="24"/>
          <w:lang w:val="es-ES"/>
        </w:rPr>
        <w:t xml:space="preserve">Este estudio se realizó siguiendo los principios éticos para las investigaciones médicas en seres humanos enunciados en la Declaración de </w:t>
      </w:r>
      <w:proofErr w:type="gramStart"/>
      <w:r w:rsidRPr="007C5340">
        <w:rPr>
          <w:rFonts w:ascii="Times New Roman" w:hAnsi="Times New Roman"/>
          <w:spacing w:val="-3"/>
          <w:sz w:val="24"/>
          <w:szCs w:val="24"/>
          <w:lang w:val="es-ES"/>
        </w:rPr>
        <w:t>Helsinki,</w:t>
      </w:r>
      <w:r w:rsidR="00FD78C2">
        <w:rPr>
          <w:rFonts w:ascii="Times New Roman" w:hAnsi="Times New Roman"/>
          <w:spacing w:val="-3"/>
          <w:sz w:val="24"/>
          <w:szCs w:val="24"/>
          <w:vertAlign w:val="superscript"/>
          <w:lang w:val="es-ES"/>
        </w:rPr>
        <w:t>(</w:t>
      </w:r>
      <w:proofErr w:type="gramEnd"/>
      <w:r w:rsidR="00FD78C2">
        <w:rPr>
          <w:rFonts w:ascii="Times New Roman" w:hAnsi="Times New Roman"/>
          <w:spacing w:val="-3"/>
          <w:sz w:val="24"/>
          <w:szCs w:val="24"/>
          <w:vertAlign w:val="superscript"/>
          <w:lang w:val="es-ES"/>
        </w:rPr>
        <w:t>10)</w:t>
      </w:r>
      <w:r w:rsidRPr="007C5340">
        <w:rPr>
          <w:rFonts w:ascii="Times New Roman" w:hAnsi="Times New Roman"/>
          <w:spacing w:val="-3"/>
          <w:sz w:val="24"/>
          <w:szCs w:val="24"/>
          <w:lang w:val="es-ES"/>
        </w:rPr>
        <w:t xml:space="preserve"> declarando que el presente trabajo de investigación se justifica con posibilidades razonables en que la población podrá beneficiarse de sus resultados, encaminada a mejorar el co</w:t>
      </w:r>
      <w:r w:rsidR="00034AEF" w:rsidRPr="007C5340">
        <w:rPr>
          <w:rFonts w:ascii="Times New Roman" w:hAnsi="Times New Roman"/>
          <w:spacing w:val="-3"/>
          <w:sz w:val="24"/>
          <w:szCs w:val="24"/>
          <w:lang w:val="es-ES"/>
        </w:rPr>
        <w:t>ntrol y la prevención de la infertilidad</w:t>
      </w:r>
      <w:r w:rsidRPr="007C5340">
        <w:rPr>
          <w:rFonts w:ascii="Times New Roman" w:hAnsi="Times New Roman"/>
          <w:spacing w:val="-3"/>
          <w:sz w:val="24"/>
          <w:szCs w:val="24"/>
          <w:lang w:val="es-ES"/>
        </w:rPr>
        <w:t>.</w:t>
      </w:r>
    </w:p>
    <w:p w:rsidR="00E77567" w:rsidRPr="007C5340" w:rsidRDefault="00C03686" w:rsidP="00657D3A">
      <w:pPr>
        <w:spacing w:after="200" w:line="360" w:lineRule="auto"/>
        <w:jc w:val="both"/>
        <w:rPr>
          <w:rFonts w:ascii="Times New Roman" w:hAnsi="Times New Roman"/>
          <w:spacing w:val="-3"/>
          <w:sz w:val="24"/>
          <w:szCs w:val="24"/>
          <w:lang w:val="es-ES"/>
        </w:rPr>
      </w:pPr>
      <w:r w:rsidRPr="007C5340">
        <w:rPr>
          <w:rFonts w:ascii="Times New Roman" w:hAnsi="Times New Roman"/>
          <w:spacing w:val="-3"/>
          <w:sz w:val="24"/>
          <w:szCs w:val="24"/>
          <w:lang w:val="es-ES"/>
        </w:rPr>
        <w:t xml:space="preserve">Los resultados </w:t>
      </w:r>
      <w:r w:rsidR="00DF084D" w:rsidRPr="007C5340">
        <w:rPr>
          <w:rFonts w:ascii="Times New Roman" w:hAnsi="Times New Roman"/>
          <w:spacing w:val="-3"/>
          <w:sz w:val="24"/>
          <w:szCs w:val="24"/>
          <w:lang w:val="es-ES"/>
        </w:rPr>
        <w:t>sólo se divulgarán conservando el anonim</w:t>
      </w:r>
      <w:r w:rsidRPr="007C5340">
        <w:rPr>
          <w:rFonts w:ascii="Times New Roman" w:hAnsi="Times New Roman"/>
          <w:spacing w:val="-3"/>
          <w:sz w:val="24"/>
          <w:szCs w:val="24"/>
          <w:lang w:val="es-ES"/>
        </w:rPr>
        <w:t>ato de las pacientes, teniendo</w:t>
      </w:r>
      <w:r w:rsidR="00DF084D" w:rsidRPr="007C5340">
        <w:rPr>
          <w:rFonts w:ascii="Times New Roman" w:hAnsi="Times New Roman"/>
          <w:spacing w:val="-3"/>
          <w:sz w:val="24"/>
          <w:szCs w:val="24"/>
          <w:lang w:val="es-ES"/>
        </w:rPr>
        <w:t xml:space="preserve"> en cuenta los principios éticos de confidencialidad de estos datos, manteniendo el secreto profesional. </w:t>
      </w:r>
    </w:p>
    <w:p w:rsidR="009555ED" w:rsidRPr="007C5340" w:rsidRDefault="00C03686" w:rsidP="00657D3A">
      <w:pPr>
        <w:pStyle w:val="Estilo1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vertAlign w:val="superscript"/>
        </w:rPr>
      </w:pPr>
      <w:r w:rsidRPr="007C5340">
        <w:rPr>
          <w:rFonts w:ascii="Times New Roman" w:hAnsi="Times New Roman" w:cs="Times New Roman"/>
        </w:rPr>
        <w:t xml:space="preserve">En el texto se habla de </w:t>
      </w:r>
      <w:r w:rsidR="00B422BA" w:rsidRPr="007C5340">
        <w:rPr>
          <w:rFonts w:ascii="Times New Roman" w:hAnsi="Times New Roman" w:cs="Times New Roman"/>
        </w:rPr>
        <w:t>I</w:t>
      </w:r>
      <w:r w:rsidRPr="007C5340">
        <w:rPr>
          <w:rFonts w:ascii="Times New Roman" w:hAnsi="Times New Roman" w:cs="Times New Roman"/>
        </w:rPr>
        <w:t>nfertilidad primaria y secundaria, refiriéndose en la primera</w:t>
      </w:r>
      <w:r w:rsidR="00B422BA" w:rsidRPr="007C5340">
        <w:rPr>
          <w:rFonts w:ascii="Times New Roman" w:hAnsi="Times New Roman" w:cs="Times New Roman"/>
        </w:rPr>
        <w:t xml:space="preserve"> a las parejas que no han podido quedar en embarazo después de al menos un año de relaciones sexuales s</w:t>
      </w:r>
      <w:r w:rsidRPr="007C5340">
        <w:rPr>
          <w:rFonts w:ascii="Times New Roman" w:hAnsi="Times New Roman" w:cs="Times New Roman"/>
        </w:rPr>
        <w:t xml:space="preserve">in usar métodos </w:t>
      </w:r>
      <w:proofErr w:type="gramStart"/>
      <w:r w:rsidRPr="007C5340">
        <w:rPr>
          <w:rFonts w:ascii="Times New Roman" w:hAnsi="Times New Roman" w:cs="Times New Roman"/>
        </w:rPr>
        <w:t>anticonceptivos,</w:t>
      </w:r>
      <w:r w:rsidR="00863C7D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863C7D" w:rsidRPr="007C5340">
        <w:rPr>
          <w:rFonts w:ascii="Times New Roman" w:hAnsi="Times New Roman" w:cs="Times New Roman"/>
          <w:vertAlign w:val="superscript"/>
        </w:rPr>
        <w:t>3)</w:t>
      </w:r>
      <w:r w:rsidRPr="007C5340">
        <w:rPr>
          <w:rFonts w:ascii="Times New Roman" w:hAnsi="Times New Roman" w:cs="Times New Roman"/>
        </w:rPr>
        <w:t xml:space="preserve">mientras en la segundase </w:t>
      </w:r>
      <w:r w:rsidR="003B0D66" w:rsidRPr="007C5340">
        <w:rPr>
          <w:rFonts w:ascii="Times New Roman" w:hAnsi="Times New Roman" w:cs="Times New Roman"/>
        </w:rPr>
        <w:t>encuentran</w:t>
      </w:r>
      <w:r w:rsidR="003A493F">
        <w:rPr>
          <w:rFonts w:ascii="Times New Roman" w:hAnsi="Times New Roman" w:cs="Times New Roman"/>
        </w:rPr>
        <w:t xml:space="preserve"> </w:t>
      </w:r>
      <w:r w:rsidR="00B422BA" w:rsidRPr="007C5340">
        <w:rPr>
          <w:rFonts w:ascii="Times New Roman" w:hAnsi="Times New Roman" w:cs="Times New Roman"/>
        </w:rPr>
        <w:t>las parejas que han podido quedar embarazadas al menos una vez, pero que ahora no pueden.</w:t>
      </w:r>
      <w:r w:rsidR="00863C7D" w:rsidRPr="007C5340">
        <w:rPr>
          <w:rFonts w:ascii="Times New Roman" w:hAnsi="Times New Roman" w:cs="Times New Roman"/>
          <w:vertAlign w:val="superscript"/>
        </w:rPr>
        <w:t>(3)</w:t>
      </w:r>
    </w:p>
    <w:p w:rsidR="009555ED" w:rsidRPr="007C5340" w:rsidRDefault="009555ED" w:rsidP="00657D3A">
      <w:pPr>
        <w:pStyle w:val="Estilo1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 xml:space="preserve">En la investigación se determinó </w:t>
      </w:r>
      <w:r w:rsidR="00C273CC" w:rsidRPr="007C5340">
        <w:rPr>
          <w:rFonts w:ascii="Times New Roman" w:hAnsi="Times New Roman" w:cs="Times New Roman"/>
        </w:rPr>
        <w:t xml:space="preserve">la </w:t>
      </w:r>
      <w:r w:rsidRPr="007C5340">
        <w:rPr>
          <w:rFonts w:ascii="Times New Roman" w:hAnsi="Times New Roman" w:cs="Times New Roman"/>
        </w:rPr>
        <w:t>tasa de incidencia por cada 1000 habitantes, determinada por el total de mujeres en edades entre 20 y 40 años atendidas en la consulta pro</w:t>
      </w:r>
      <w:r w:rsidR="00C273CC" w:rsidRPr="007C5340">
        <w:rPr>
          <w:rFonts w:ascii="Times New Roman" w:hAnsi="Times New Roman" w:cs="Times New Roman"/>
        </w:rPr>
        <w:t>vincial de reproducción asistida, entre la</w:t>
      </w:r>
      <w:r w:rsidRPr="007C5340">
        <w:rPr>
          <w:rFonts w:ascii="Times New Roman" w:hAnsi="Times New Roman" w:cs="Times New Roman"/>
        </w:rPr>
        <w:t xml:space="preserve"> poblaci</w:t>
      </w:r>
      <w:r w:rsidR="004004D3" w:rsidRPr="007C5340">
        <w:rPr>
          <w:rFonts w:ascii="Times New Roman" w:hAnsi="Times New Roman" w:cs="Times New Roman"/>
        </w:rPr>
        <w:t>ón total de féminas entre este rango de edad</w:t>
      </w:r>
      <w:r w:rsidR="00C273CC" w:rsidRPr="007C5340">
        <w:rPr>
          <w:rFonts w:ascii="Times New Roman" w:hAnsi="Times New Roman" w:cs="Times New Roman"/>
        </w:rPr>
        <w:t>,</w:t>
      </w:r>
      <w:r w:rsidRPr="007C5340">
        <w:rPr>
          <w:rFonts w:ascii="Times New Roman" w:hAnsi="Times New Roman" w:cs="Times New Roman"/>
        </w:rPr>
        <w:t xml:space="preserve"> aportada por el Programa Materno Infantil de la provincia</w:t>
      </w:r>
      <w:r w:rsidR="00463F4D">
        <w:rPr>
          <w:rFonts w:ascii="Times New Roman" w:hAnsi="Times New Roman" w:cs="Times New Roman"/>
        </w:rPr>
        <w:t>.</w:t>
      </w:r>
    </w:p>
    <w:p w:rsidR="0027767F" w:rsidRPr="007C5340" w:rsidRDefault="0027767F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BO"/>
        </w:rPr>
      </w:pPr>
    </w:p>
    <w:p w:rsidR="00744239" w:rsidRPr="007C5340" w:rsidRDefault="00DB0696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BO"/>
        </w:rPr>
      </w:pPr>
      <w:r>
        <w:rPr>
          <w:rFonts w:ascii="Times New Roman" w:hAnsi="Times New Roman"/>
          <w:b/>
          <w:sz w:val="24"/>
          <w:szCs w:val="24"/>
          <w:lang w:val="es-BO"/>
        </w:rPr>
        <w:t>RESULTADOS</w:t>
      </w:r>
    </w:p>
    <w:p w:rsidR="000318B9" w:rsidRPr="007C5340" w:rsidRDefault="00547D3D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BO"/>
        </w:rPr>
      </w:pPr>
      <w:r w:rsidRPr="007C5340">
        <w:rPr>
          <w:rFonts w:ascii="Times New Roman" w:hAnsi="Times New Roman"/>
          <w:sz w:val="24"/>
          <w:szCs w:val="24"/>
          <w:lang w:val="es-BO"/>
        </w:rPr>
        <w:lastRenderedPageBreak/>
        <w:t>En la tabla 1</w:t>
      </w:r>
      <w:r w:rsidR="0002461B" w:rsidRPr="007C5340">
        <w:rPr>
          <w:rFonts w:ascii="Times New Roman" w:hAnsi="Times New Roman"/>
          <w:sz w:val="24"/>
          <w:szCs w:val="24"/>
          <w:lang w:val="es-BO"/>
        </w:rPr>
        <w:t xml:space="preserve"> </w:t>
      </w:r>
      <w:r w:rsidR="00ED1E89" w:rsidRPr="007C5340">
        <w:rPr>
          <w:rFonts w:ascii="Times New Roman" w:hAnsi="Times New Roman"/>
          <w:sz w:val="24"/>
          <w:szCs w:val="24"/>
          <w:lang w:val="es-BO"/>
        </w:rPr>
        <w:t>s</w:t>
      </w:r>
      <w:r w:rsidR="0002461B" w:rsidRPr="007C5340">
        <w:rPr>
          <w:rFonts w:ascii="Times New Roman" w:hAnsi="Times New Roman"/>
          <w:sz w:val="24"/>
          <w:szCs w:val="24"/>
          <w:lang w:val="es-BO"/>
        </w:rPr>
        <w:t xml:space="preserve">e distribuye </w:t>
      </w:r>
      <w:r w:rsidR="00C12DB3" w:rsidRPr="007C5340">
        <w:rPr>
          <w:rFonts w:ascii="Times New Roman" w:hAnsi="Times New Roman"/>
          <w:sz w:val="24"/>
          <w:szCs w:val="24"/>
          <w:lang w:val="es-BO"/>
        </w:rPr>
        <w:t xml:space="preserve">a las pacientes </w:t>
      </w:r>
      <w:r w:rsidR="00355286" w:rsidRPr="007C5340">
        <w:rPr>
          <w:rFonts w:ascii="Times New Roman" w:hAnsi="Times New Roman"/>
          <w:sz w:val="24"/>
          <w:szCs w:val="24"/>
          <w:lang w:val="es-BO"/>
        </w:rPr>
        <w:t xml:space="preserve">infértiles </w:t>
      </w:r>
      <w:r w:rsidR="00AE2FA4" w:rsidRPr="007C5340">
        <w:rPr>
          <w:rFonts w:ascii="Times New Roman" w:hAnsi="Times New Roman"/>
          <w:sz w:val="24"/>
          <w:szCs w:val="24"/>
          <w:lang w:val="es-BO"/>
        </w:rPr>
        <w:t>según gru</w:t>
      </w:r>
      <w:r w:rsidR="00C40A30" w:rsidRPr="007C5340">
        <w:rPr>
          <w:rFonts w:ascii="Times New Roman" w:hAnsi="Times New Roman"/>
          <w:sz w:val="24"/>
          <w:szCs w:val="24"/>
          <w:lang w:val="es-BO"/>
        </w:rPr>
        <w:t>po etario y tipo de infertilidad</w:t>
      </w:r>
      <w:r w:rsidR="000D5E5E" w:rsidRPr="007C5340">
        <w:rPr>
          <w:rFonts w:ascii="Times New Roman" w:hAnsi="Times New Roman"/>
          <w:sz w:val="24"/>
          <w:szCs w:val="24"/>
          <w:lang w:val="es-BO"/>
        </w:rPr>
        <w:t>,</w:t>
      </w:r>
      <w:r w:rsidR="00B14652" w:rsidRPr="007C5340">
        <w:rPr>
          <w:rFonts w:ascii="Times New Roman" w:hAnsi="Times New Roman"/>
          <w:sz w:val="24"/>
          <w:szCs w:val="24"/>
          <w:lang w:val="es-BO"/>
        </w:rPr>
        <w:t xml:space="preserve"> existiendo predominio </w:t>
      </w:r>
      <w:r w:rsidR="00925B26" w:rsidRPr="007C5340">
        <w:rPr>
          <w:rFonts w:ascii="Times New Roman" w:hAnsi="Times New Roman"/>
          <w:sz w:val="24"/>
          <w:szCs w:val="24"/>
          <w:lang w:val="es-BO"/>
        </w:rPr>
        <w:t>de mujeres entre 30 y 34 (30,9 %)</w:t>
      </w:r>
      <w:r w:rsidR="00FE4B84" w:rsidRPr="007C5340">
        <w:rPr>
          <w:rFonts w:ascii="Times New Roman" w:hAnsi="Times New Roman"/>
          <w:sz w:val="24"/>
          <w:szCs w:val="24"/>
          <w:lang w:val="es-BO"/>
        </w:rPr>
        <w:t>, seguido p</w:t>
      </w:r>
      <w:r w:rsidR="00274713" w:rsidRPr="007C5340">
        <w:rPr>
          <w:rFonts w:ascii="Times New Roman" w:hAnsi="Times New Roman"/>
          <w:sz w:val="24"/>
          <w:szCs w:val="24"/>
          <w:lang w:val="es-BO"/>
        </w:rPr>
        <w:t>or las de 25 a 29 años (28,0 %)</w:t>
      </w:r>
      <w:r w:rsidR="00CD61EF" w:rsidRPr="007C5340">
        <w:rPr>
          <w:rFonts w:ascii="Times New Roman" w:hAnsi="Times New Roman"/>
          <w:sz w:val="24"/>
          <w:szCs w:val="24"/>
          <w:lang w:val="es-BO"/>
        </w:rPr>
        <w:t xml:space="preserve">, en su mayoría </w:t>
      </w:r>
      <w:r w:rsidR="00ED4621" w:rsidRPr="007C5340">
        <w:rPr>
          <w:rFonts w:ascii="Times New Roman" w:hAnsi="Times New Roman"/>
          <w:sz w:val="24"/>
          <w:szCs w:val="24"/>
          <w:lang w:val="es-BO"/>
        </w:rPr>
        <w:t>con diagnóstico de infertilidad secundaria (3,0 %).</w:t>
      </w:r>
    </w:p>
    <w:p w:rsidR="00972190" w:rsidRPr="007C5340" w:rsidRDefault="00972190" w:rsidP="00657D3A">
      <w:pPr>
        <w:spacing w:line="360" w:lineRule="auto"/>
        <w:jc w:val="center"/>
        <w:rPr>
          <w:rFonts w:ascii="Times New Roman" w:hAnsi="Times New Roman"/>
          <w:sz w:val="24"/>
          <w:szCs w:val="24"/>
          <w:lang w:val="es-BO"/>
        </w:rPr>
      </w:pPr>
      <w:r w:rsidRPr="007C5340">
        <w:rPr>
          <w:rFonts w:ascii="Times New Roman" w:eastAsiaTheme="minorHAnsi" w:hAnsi="Times New Roman"/>
          <w:sz w:val="24"/>
          <w:szCs w:val="24"/>
        </w:rPr>
        <w:t>Tabla 1 - Distribución de pacientes con diagnóstico de infertilidad según grupo etario y tipo de infertilidad</w:t>
      </w:r>
    </w:p>
    <w:tbl>
      <w:tblPr>
        <w:tblStyle w:val="Estilo11"/>
        <w:tblpPr w:leftFromText="180" w:rightFromText="180" w:vertAnchor="text" w:tblpXSpec="center" w:tblpY="1"/>
        <w:tblOverlap w:val="never"/>
        <w:tblW w:w="6077" w:type="dxa"/>
        <w:tblLayout w:type="fixed"/>
        <w:tblLook w:val="04A0" w:firstRow="1" w:lastRow="0" w:firstColumn="1" w:lastColumn="0" w:noHBand="0" w:noVBand="1"/>
      </w:tblPr>
      <w:tblGrid>
        <w:gridCol w:w="1178"/>
        <w:gridCol w:w="741"/>
        <w:gridCol w:w="892"/>
        <w:gridCol w:w="740"/>
        <w:gridCol w:w="893"/>
        <w:gridCol w:w="741"/>
        <w:gridCol w:w="892"/>
      </w:tblGrid>
      <w:tr w:rsidR="00744239" w:rsidRPr="007C5340" w:rsidTr="00395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6"/>
        </w:trPr>
        <w:tc>
          <w:tcPr>
            <w:tcW w:w="1118" w:type="dxa"/>
            <w:vMerge w:val="restart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Grupo etario (años)</w:t>
            </w:r>
          </w:p>
        </w:tc>
        <w:tc>
          <w:tcPr>
            <w:tcW w:w="3226" w:type="dxa"/>
            <w:gridSpan w:val="4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Tipo de infertilidad</w:t>
            </w:r>
          </w:p>
        </w:tc>
        <w:tc>
          <w:tcPr>
            <w:tcW w:w="1573" w:type="dxa"/>
            <w:gridSpan w:val="2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</w:p>
        </w:tc>
      </w:tr>
      <w:tr w:rsidR="00744239" w:rsidRPr="007C5340" w:rsidTr="003956A7">
        <w:trPr>
          <w:cantSplit/>
          <w:trHeight w:val="87"/>
        </w:trPr>
        <w:tc>
          <w:tcPr>
            <w:tcW w:w="1118" w:type="dxa"/>
            <w:vMerge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Primaria</w:t>
            </w:r>
          </w:p>
        </w:tc>
        <w:tc>
          <w:tcPr>
            <w:tcW w:w="1593" w:type="dxa"/>
            <w:gridSpan w:val="2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Secundaria</w:t>
            </w:r>
          </w:p>
        </w:tc>
        <w:tc>
          <w:tcPr>
            <w:tcW w:w="1573" w:type="dxa"/>
            <w:gridSpan w:val="2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Total</w:t>
            </w:r>
          </w:p>
        </w:tc>
      </w:tr>
      <w:tr w:rsidR="00744239" w:rsidRPr="007C5340" w:rsidTr="003956A7">
        <w:trPr>
          <w:cantSplit/>
          <w:trHeight w:val="87"/>
        </w:trPr>
        <w:tc>
          <w:tcPr>
            <w:tcW w:w="1118" w:type="dxa"/>
            <w:vMerge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</w:p>
        </w:tc>
        <w:tc>
          <w:tcPr>
            <w:tcW w:w="70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No</w:t>
            </w:r>
          </w:p>
        </w:tc>
        <w:tc>
          <w:tcPr>
            <w:tcW w:w="85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%</w:t>
            </w:r>
          </w:p>
        </w:tc>
        <w:tc>
          <w:tcPr>
            <w:tcW w:w="700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No</w:t>
            </w:r>
          </w:p>
        </w:tc>
        <w:tc>
          <w:tcPr>
            <w:tcW w:w="8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%</w:t>
            </w:r>
          </w:p>
        </w:tc>
        <w:tc>
          <w:tcPr>
            <w:tcW w:w="701" w:type="dxa"/>
            <w:tcBorders>
              <w:righ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No</w:t>
            </w:r>
          </w:p>
        </w:tc>
        <w:tc>
          <w:tcPr>
            <w:tcW w:w="831" w:type="dxa"/>
            <w:tcBorders>
              <w:lef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%</w:t>
            </w:r>
          </w:p>
        </w:tc>
      </w:tr>
      <w:tr w:rsidR="00744239" w:rsidRPr="007C5340" w:rsidTr="003956A7">
        <w:trPr>
          <w:cantSplit/>
          <w:trHeight w:val="200"/>
        </w:trPr>
        <w:tc>
          <w:tcPr>
            <w:tcW w:w="111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20-24</w:t>
            </w:r>
          </w:p>
        </w:tc>
        <w:tc>
          <w:tcPr>
            <w:tcW w:w="70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85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6,9</w:t>
            </w:r>
          </w:p>
        </w:tc>
        <w:tc>
          <w:tcPr>
            <w:tcW w:w="700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8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8,6</w:t>
            </w:r>
          </w:p>
        </w:tc>
        <w:tc>
          <w:tcPr>
            <w:tcW w:w="701" w:type="dxa"/>
            <w:tcBorders>
              <w:righ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831" w:type="dxa"/>
            <w:tcBorders>
              <w:lef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15,5</w:t>
            </w:r>
          </w:p>
        </w:tc>
      </w:tr>
      <w:tr w:rsidR="00744239" w:rsidRPr="007C5340" w:rsidTr="003956A7">
        <w:trPr>
          <w:cantSplit/>
          <w:trHeight w:val="200"/>
        </w:trPr>
        <w:tc>
          <w:tcPr>
            <w:tcW w:w="111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25-29</w:t>
            </w:r>
          </w:p>
        </w:tc>
        <w:tc>
          <w:tcPr>
            <w:tcW w:w="70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13,5</w:t>
            </w:r>
          </w:p>
        </w:tc>
        <w:tc>
          <w:tcPr>
            <w:tcW w:w="700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44</w:t>
            </w:r>
          </w:p>
        </w:tc>
        <w:tc>
          <w:tcPr>
            <w:tcW w:w="8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14,5</w:t>
            </w:r>
          </w:p>
        </w:tc>
        <w:tc>
          <w:tcPr>
            <w:tcW w:w="701" w:type="dxa"/>
            <w:tcBorders>
              <w:righ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85</w:t>
            </w:r>
          </w:p>
        </w:tc>
        <w:tc>
          <w:tcPr>
            <w:tcW w:w="831" w:type="dxa"/>
            <w:tcBorders>
              <w:lef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28,0</w:t>
            </w:r>
          </w:p>
        </w:tc>
      </w:tr>
      <w:tr w:rsidR="00744239" w:rsidRPr="007C5340" w:rsidTr="003956A7">
        <w:trPr>
          <w:cantSplit/>
          <w:trHeight w:val="200"/>
        </w:trPr>
        <w:tc>
          <w:tcPr>
            <w:tcW w:w="111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30-34</w:t>
            </w:r>
          </w:p>
        </w:tc>
        <w:tc>
          <w:tcPr>
            <w:tcW w:w="70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15,1</w:t>
            </w:r>
          </w:p>
        </w:tc>
        <w:tc>
          <w:tcPr>
            <w:tcW w:w="700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48</w:t>
            </w:r>
          </w:p>
        </w:tc>
        <w:tc>
          <w:tcPr>
            <w:tcW w:w="8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15,8</w:t>
            </w:r>
          </w:p>
        </w:tc>
        <w:tc>
          <w:tcPr>
            <w:tcW w:w="701" w:type="dxa"/>
            <w:tcBorders>
              <w:righ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94</w:t>
            </w:r>
          </w:p>
        </w:tc>
        <w:tc>
          <w:tcPr>
            <w:tcW w:w="831" w:type="dxa"/>
            <w:tcBorders>
              <w:lef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30,9</w:t>
            </w:r>
          </w:p>
        </w:tc>
      </w:tr>
      <w:tr w:rsidR="00744239" w:rsidRPr="007C5340" w:rsidTr="003956A7">
        <w:trPr>
          <w:cantSplit/>
          <w:trHeight w:val="200"/>
        </w:trPr>
        <w:tc>
          <w:tcPr>
            <w:tcW w:w="111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35-39</w:t>
            </w:r>
          </w:p>
        </w:tc>
        <w:tc>
          <w:tcPr>
            <w:tcW w:w="70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9,9</w:t>
            </w:r>
          </w:p>
        </w:tc>
        <w:tc>
          <w:tcPr>
            <w:tcW w:w="700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36</w:t>
            </w:r>
          </w:p>
        </w:tc>
        <w:tc>
          <w:tcPr>
            <w:tcW w:w="8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11,8</w:t>
            </w:r>
          </w:p>
        </w:tc>
        <w:tc>
          <w:tcPr>
            <w:tcW w:w="701" w:type="dxa"/>
            <w:tcBorders>
              <w:righ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66</w:t>
            </w:r>
          </w:p>
        </w:tc>
        <w:tc>
          <w:tcPr>
            <w:tcW w:w="831" w:type="dxa"/>
            <w:tcBorders>
              <w:lef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21,7</w:t>
            </w:r>
          </w:p>
        </w:tc>
      </w:tr>
      <w:tr w:rsidR="00744239" w:rsidRPr="007C5340" w:rsidTr="003956A7">
        <w:trPr>
          <w:cantSplit/>
          <w:trHeight w:val="200"/>
        </w:trPr>
        <w:tc>
          <w:tcPr>
            <w:tcW w:w="111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40</w:t>
            </w:r>
          </w:p>
        </w:tc>
        <w:tc>
          <w:tcPr>
            <w:tcW w:w="70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1,6</w:t>
            </w:r>
          </w:p>
        </w:tc>
        <w:tc>
          <w:tcPr>
            <w:tcW w:w="700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2,3</w:t>
            </w:r>
          </w:p>
        </w:tc>
        <w:tc>
          <w:tcPr>
            <w:tcW w:w="701" w:type="dxa"/>
            <w:tcBorders>
              <w:righ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12</w:t>
            </w:r>
          </w:p>
        </w:tc>
        <w:tc>
          <w:tcPr>
            <w:tcW w:w="831" w:type="dxa"/>
            <w:tcBorders>
              <w:lef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3,9</w:t>
            </w:r>
          </w:p>
        </w:tc>
      </w:tr>
      <w:tr w:rsidR="00744239" w:rsidRPr="007C5340" w:rsidTr="003956A7">
        <w:trPr>
          <w:cantSplit/>
          <w:trHeight w:val="200"/>
        </w:trPr>
        <w:tc>
          <w:tcPr>
            <w:tcW w:w="111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Total</w:t>
            </w:r>
          </w:p>
        </w:tc>
        <w:tc>
          <w:tcPr>
            <w:tcW w:w="70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143</w:t>
            </w:r>
          </w:p>
        </w:tc>
        <w:tc>
          <w:tcPr>
            <w:tcW w:w="85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47,0</w:t>
            </w:r>
          </w:p>
        </w:tc>
        <w:tc>
          <w:tcPr>
            <w:tcW w:w="700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161</w:t>
            </w:r>
          </w:p>
        </w:tc>
        <w:tc>
          <w:tcPr>
            <w:tcW w:w="8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53,0</w:t>
            </w:r>
          </w:p>
        </w:tc>
        <w:tc>
          <w:tcPr>
            <w:tcW w:w="701" w:type="dxa"/>
            <w:tcBorders>
              <w:righ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304</w:t>
            </w:r>
          </w:p>
        </w:tc>
        <w:tc>
          <w:tcPr>
            <w:tcW w:w="831" w:type="dxa"/>
            <w:tcBorders>
              <w:left w:val="outset" w:sz="6" w:space="0" w:color="auto"/>
            </w:tcBorders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100</w:t>
            </w:r>
          </w:p>
        </w:tc>
      </w:tr>
    </w:tbl>
    <w:p w:rsidR="00985F84" w:rsidRDefault="00985F84" w:rsidP="00661941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985F84" w:rsidRDefault="00985F84" w:rsidP="00661941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985F84" w:rsidRDefault="00985F84" w:rsidP="00661941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985F84" w:rsidRDefault="00985F84" w:rsidP="00661941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985F84" w:rsidRDefault="00985F84" w:rsidP="00661941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985F84" w:rsidRDefault="00985F84" w:rsidP="00661941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985F84" w:rsidRDefault="00985F84" w:rsidP="00661941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985F84" w:rsidRDefault="00985F84" w:rsidP="00661941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A80A81" w:rsidRDefault="00A80A81" w:rsidP="00F25E5C">
      <w:pPr>
        <w:spacing w:line="360" w:lineRule="auto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972190" w:rsidRPr="007C5340" w:rsidRDefault="00972190" w:rsidP="00661941">
      <w:pPr>
        <w:spacing w:line="360" w:lineRule="auto"/>
        <w:jc w:val="center"/>
        <w:rPr>
          <w:rFonts w:ascii="Times New Roman" w:eastAsiaTheme="minorHAnsi" w:hAnsi="Times New Roman"/>
          <w:sz w:val="18"/>
          <w:szCs w:val="18"/>
          <w:lang w:val="es-BO"/>
        </w:rPr>
      </w:pPr>
      <w:r w:rsidRPr="007C5340">
        <w:rPr>
          <w:rFonts w:ascii="Times New Roman" w:eastAsiaTheme="minorHAnsi" w:hAnsi="Times New Roman"/>
          <w:i/>
          <w:sz w:val="18"/>
          <w:szCs w:val="18"/>
          <w:lang w:val="es-BO"/>
        </w:rPr>
        <w:t>Fuente:</w:t>
      </w:r>
      <w:r w:rsidR="00246CED" w:rsidRPr="007C5340">
        <w:rPr>
          <w:rFonts w:ascii="Times New Roman" w:eastAsiaTheme="minorHAnsi" w:hAnsi="Times New Roman"/>
          <w:sz w:val="18"/>
          <w:szCs w:val="18"/>
          <w:lang w:val="es-BO"/>
        </w:rPr>
        <w:t xml:space="preserve"> Historia c</w:t>
      </w:r>
      <w:r w:rsidRPr="007C5340">
        <w:rPr>
          <w:rFonts w:ascii="Times New Roman" w:eastAsiaTheme="minorHAnsi" w:hAnsi="Times New Roman"/>
          <w:sz w:val="18"/>
          <w:szCs w:val="18"/>
          <w:lang w:val="es-BO"/>
        </w:rPr>
        <w:t>línica individual.</w:t>
      </w:r>
    </w:p>
    <w:p w:rsidR="003956A7" w:rsidRPr="007C5340" w:rsidRDefault="003956A7" w:rsidP="00657D3A">
      <w:pPr>
        <w:spacing w:line="360" w:lineRule="auto"/>
        <w:jc w:val="center"/>
        <w:rPr>
          <w:rFonts w:ascii="Times New Roman" w:eastAsiaTheme="minorHAnsi" w:hAnsi="Times New Roman"/>
          <w:sz w:val="18"/>
          <w:szCs w:val="18"/>
          <w:lang w:val="es-BO"/>
        </w:rPr>
      </w:pPr>
    </w:p>
    <w:p w:rsidR="00744239" w:rsidRPr="007C5340" w:rsidRDefault="00A9040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sz w:val="24"/>
          <w:szCs w:val="24"/>
          <w:lang w:val="es-BO"/>
        </w:rPr>
        <w:t>La mayor representación</w:t>
      </w:r>
      <w:r w:rsidR="00547D3D" w:rsidRPr="007C5340">
        <w:rPr>
          <w:rFonts w:ascii="Times New Roman" w:eastAsiaTheme="minorHAnsi" w:hAnsi="Times New Roman"/>
          <w:sz w:val="24"/>
          <w:szCs w:val="24"/>
          <w:lang w:val="es-BO"/>
        </w:rPr>
        <w:t xml:space="preserve"> </w:t>
      </w:r>
      <w:r w:rsidR="00FE727F" w:rsidRPr="007C5340">
        <w:rPr>
          <w:rFonts w:ascii="Times New Roman" w:eastAsiaTheme="minorHAnsi" w:hAnsi="Times New Roman"/>
          <w:sz w:val="24"/>
          <w:szCs w:val="24"/>
        </w:rPr>
        <w:t xml:space="preserve">de pacientes con diagnóstico de infertilidad </w:t>
      </w:r>
      <w:r w:rsidRPr="007C5340">
        <w:rPr>
          <w:rFonts w:ascii="Times New Roman" w:eastAsiaTheme="minorHAnsi" w:hAnsi="Times New Roman"/>
          <w:sz w:val="24"/>
          <w:szCs w:val="24"/>
          <w:lang w:val="es-BO"/>
        </w:rPr>
        <w:t>estuvo dada por</w:t>
      </w:r>
      <w:r w:rsidR="00B02323" w:rsidRPr="007C5340">
        <w:rPr>
          <w:rFonts w:ascii="Times New Roman" w:eastAsiaTheme="minorHAnsi" w:hAnsi="Times New Roman"/>
          <w:sz w:val="24"/>
          <w:szCs w:val="24"/>
          <w:lang w:val="es-BO"/>
        </w:rPr>
        <w:t xml:space="preserve"> el municipio Camagüey con 132 (43,5 %)</w:t>
      </w:r>
      <w:r w:rsidR="00294636" w:rsidRPr="007C5340">
        <w:rPr>
          <w:rFonts w:ascii="Times New Roman" w:eastAsiaTheme="minorHAnsi" w:hAnsi="Times New Roman"/>
          <w:sz w:val="24"/>
          <w:szCs w:val="24"/>
          <w:lang w:val="es-BO"/>
        </w:rPr>
        <w:t xml:space="preserve"> </w:t>
      </w:r>
      <w:r w:rsidR="00F01638" w:rsidRPr="007C5340">
        <w:rPr>
          <w:rFonts w:ascii="Times New Roman" w:eastAsiaTheme="minorHAnsi" w:hAnsi="Times New Roman"/>
          <w:sz w:val="24"/>
          <w:szCs w:val="24"/>
          <w:lang w:val="es-BO"/>
        </w:rPr>
        <w:t>(tabla 2)</w:t>
      </w:r>
      <w:r w:rsidR="007475B0" w:rsidRPr="007C5340">
        <w:rPr>
          <w:rFonts w:ascii="Times New Roman" w:eastAsiaTheme="minorHAnsi" w:hAnsi="Times New Roman"/>
          <w:sz w:val="24"/>
          <w:szCs w:val="24"/>
          <w:lang w:val="es-BO"/>
        </w:rPr>
        <w:t>, mientras por</w:t>
      </w:r>
      <w:r w:rsidR="00FE727F" w:rsidRPr="007C5340">
        <w:rPr>
          <w:rFonts w:ascii="Times New Roman" w:eastAsiaTheme="minorHAnsi" w:hAnsi="Times New Roman"/>
          <w:sz w:val="24"/>
          <w:szCs w:val="24"/>
          <w:lang w:val="es-BO"/>
        </w:rPr>
        <w:t xml:space="preserve"> orden de</w:t>
      </w:r>
      <w:r w:rsidR="00FE727F" w:rsidRPr="007C5340">
        <w:rPr>
          <w:rFonts w:ascii="Times New Roman" w:eastAsiaTheme="minorHAnsi" w:hAnsi="Times New Roman"/>
          <w:sz w:val="24"/>
          <w:szCs w:val="24"/>
        </w:rPr>
        <w:t xml:space="preserve"> incidencia</w:t>
      </w:r>
      <w:r w:rsidR="00A80A81">
        <w:rPr>
          <w:rFonts w:ascii="Times New Roman" w:eastAsiaTheme="minorHAnsi" w:hAnsi="Times New Roman"/>
          <w:sz w:val="24"/>
          <w:szCs w:val="24"/>
        </w:rPr>
        <w:t xml:space="preserve"> </w:t>
      </w:r>
      <w:r w:rsidR="00EC432A" w:rsidRPr="007C5340">
        <w:rPr>
          <w:rFonts w:ascii="Times New Roman" w:eastAsiaTheme="minorHAnsi" w:hAnsi="Times New Roman"/>
          <w:sz w:val="24"/>
          <w:szCs w:val="24"/>
        </w:rPr>
        <w:t>muestra</w:t>
      </w:r>
      <w:r w:rsidR="007475B0" w:rsidRPr="007C5340">
        <w:rPr>
          <w:rFonts w:ascii="Times New Roman" w:eastAsiaTheme="minorHAnsi" w:hAnsi="Times New Roman"/>
          <w:sz w:val="24"/>
          <w:szCs w:val="24"/>
        </w:rPr>
        <w:t xml:space="preserve">n predominio </w:t>
      </w:r>
      <w:r w:rsidR="00EC432A" w:rsidRPr="007C5340">
        <w:rPr>
          <w:rFonts w:ascii="Times New Roman" w:eastAsiaTheme="minorHAnsi" w:hAnsi="Times New Roman"/>
          <w:sz w:val="24"/>
          <w:szCs w:val="24"/>
        </w:rPr>
        <w:t>los municipios Céspedes (13,8)</w:t>
      </w:r>
      <w:r w:rsidR="00911611" w:rsidRPr="007C5340">
        <w:rPr>
          <w:rFonts w:ascii="Times New Roman" w:eastAsiaTheme="minorHAnsi" w:hAnsi="Times New Roman"/>
          <w:sz w:val="24"/>
          <w:szCs w:val="24"/>
        </w:rPr>
        <w:t xml:space="preserve"> </w:t>
      </w:r>
      <w:r w:rsidR="00EF3B2E" w:rsidRPr="007C5340">
        <w:rPr>
          <w:rFonts w:ascii="Times New Roman" w:eastAsiaTheme="minorHAnsi" w:hAnsi="Times New Roman"/>
          <w:sz w:val="24"/>
          <w:szCs w:val="24"/>
        </w:rPr>
        <w:t>(IC 1,01;1,88)</w:t>
      </w:r>
      <w:r w:rsidR="00EC432A" w:rsidRPr="007C5340">
        <w:rPr>
          <w:rFonts w:ascii="Times New Roman" w:eastAsiaTheme="minorHAnsi" w:hAnsi="Times New Roman"/>
          <w:sz w:val="24"/>
          <w:szCs w:val="24"/>
        </w:rPr>
        <w:t>, Esmeralda (9,6)</w:t>
      </w:r>
      <w:r w:rsidR="00911611" w:rsidRPr="007C5340">
        <w:rPr>
          <w:rFonts w:ascii="Times New Roman" w:eastAsiaTheme="minorHAnsi" w:hAnsi="Times New Roman"/>
          <w:sz w:val="24"/>
          <w:szCs w:val="24"/>
        </w:rPr>
        <w:t xml:space="preserve"> </w:t>
      </w:r>
      <w:r w:rsidR="00EF3B2E" w:rsidRPr="007C5340">
        <w:rPr>
          <w:rFonts w:ascii="Times New Roman" w:eastAsiaTheme="minorHAnsi" w:hAnsi="Times New Roman"/>
          <w:sz w:val="24"/>
          <w:szCs w:val="24"/>
        </w:rPr>
        <w:t>(0,69;1,34)</w:t>
      </w:r>
      <w:r w:rsidR="00EC432A" w:rsidRPr="007C5340">
        <w:rPr>
          <w:rFonts w:ascii="Times New Roman" w:eastAsiaTheme="minorHAnsi" w:hAnsi="Times New Roman"/>
          <w:sz w:val="24"/>
          <w:szCs w:val="24"/>
        </w:rPr>
        <w:t xml:space="preserve"> y Jimaguayú (7,3)</w:t>
      </w:r>
      <w:r w:rsidR="00911611" w:rsidRPr="007C5340">
        <w:rPr>
          <w:rFonts w:ascii="Times New Roman" w:eastAsiaTheme="minorHAnsi" w:hAnsi="Times New Roman"/>
          <w:sz w:val="24"/>
          <w:szCs w:val="24"/>
        </w:rPr>
        <w:t xml:space="preserve"> </w:t>
      </w:r>
      <w:r w:rsidR="00EF3B2E" w:rsidRPr="007C5340">
        <w:rPr>
          <w:rFonts w:ascii="Times New Roman" w:eastAsiaTheme="minorHAnsi" w:hAnsi="Times New Roman"/>
          <w:sz w:val="24"/>
          <w:szCs w:val="24"/>
        </w:rPr>
        <w:t>(0,46;1,15)</w:t>
      </w:r>
      <w:r w:rsidR="00EC432A" w:rsidRPr="007C5340">
        <w:rPr>
          <w:rFonts w:ascii="Times New Roman" w:eastAsiaTheme="minorHAnsi" w:hAnsi="Times New Roman"/>
          <w:sz w:val="24"/>
          <w:szCs w:val="24"/>
        </w:rPr>
        <w:t xml:space="preserve"> respectivamente</w:t>
      </w:r>
      <w:r w:rsidR="00EC7A09" w:rsidRPr="007C5340">
        <w:rPr>
          <w:rFonts w:ascii="Times New Roman" w:eastAsiaTheme="minorHAnsi" w:hAnsi="Times New Roman"/>
          <w:sz w:val="24"/>
          <w:szCs w:val="24"/>
        </w:rPr>
        <w:t>.</w:t>
      </w:r>
    </w:p>
    <w:p w:rsidR="000371CE" w:rsidRPr="007C5340" w:rsidRDefault="000371CE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956A7" w:rsidRPr="007C5340" w:rsidRDefault="003956A7" w:rsidP="00657D3A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sz w:val="24"/>
          <w:szCs w:val="24"/>
        </w:rPr>
        <w:t>Tabla 2 - Incidencia de pacientes con diagnóstico de infertilidad según municipio de origen</w:t>
      </w:r>
    </w:p>
    <w:tbl>
      <w:tblPr>
        <w:tblStyle w:val="Estilo11"/>
        <w:tblpPr w:leftFromText="180" w:rightFromText="180" w:vertAnchor="text" w:tblpXSpec="center" w:tblpY="1"/>
        <w:tblOverlap w:val="never"/>
        <w:tblW w:w="6259" w:type="dxa"/>
        <w:tblLayout w:type="fixed"/>
        <w:tblLook w:val="04A0" w:firstRow="1" w:lastRow="0" w:firstColumn="1" w:lastColumn="0" w:noHBand="0" w:noVBand="1"/>
      </w:tblPr>
      <w:tblGrid>
        <w:gridCol w:w="1864"/>
        <w:gridCol w:w="993"/>
        <w:gridCol w:w="992"/>
        <w:gridCol w:w="1276"/>
        <w:gridCol w:w="1134"/>
      </w:tblGrid>
      <w:tr w:rsidR="003956A7" w:rsidRPr="007C5340" w:rsidTr="00395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8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Municipio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Incidencia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IC 95 %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Camagüey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132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43,5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3,2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0,27;3,78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Céspedes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40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13,2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13,8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1,01;1,88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Esmeralda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34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11,2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9,6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0,69;1,34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Florida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27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8,9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3,1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0,21;0,45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Guáimaro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24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4,9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6,0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0,40;0,89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Jimaguayú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2,3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7,3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0,46;1,15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Minas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4,6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3,0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0,18;0,51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Najasa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1,6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2,7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0,11;0,64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Nuevitas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0,3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0,1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0,00;0,10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Santa Cruz del Sur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1,3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0,8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0,03;0,21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Sibanicú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1,0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0,9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0,03;0,26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Sierra de Cubitas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0,3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0,4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0,01;0,31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Vertientes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0,3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0,2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0,00;0,12</w:t>
            </w:r>
          </w:p>
        </w:tc>
      </w:tr>
      <w:tr w:rsidR="003956A7" w:rsidRPr="007C5340" w:rsidTr="003956A7">
        <w:trPr>
          <w:cantSplit/>
          <w:trHeight w:val="160"/>
        </w:trPr>
        <w:tc>
          <w:tcPr>
            <w:tcW w:w="180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Provincia</w:t>
            </w:r>
          </w:p>
        </w:tc>
        <w:tc>
          <w:tcPr>
            <w:tcW w:w="953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304</w:t>
            </w:r>
          </w:p>
        </w:tc>
        <w:tc>
          <w:tcPr>
            <w:tcW w:w="95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100</w:t>
            </w:r>
          </w:p>
        </w:tc>
        <w:tc>
          <w:tcPr>
            <w:tcW w:w="1236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3,2</w:t>
            </w:r>
          </w:p>
        </w:tc>
        <w:tc>
          <w:tcPr>
            <w:tcW w:w="1074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0,29;0,36</w:t>
            </w:r>
          </w:p>
        </w:tc>
      </w:tr>
    </w:tbl>
    <w:p w:rsidR="00744239" w:rsidRPr="007C5340" w:rsidRDefault="00744239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44239" w:rsidRPr="007C5340" w:rsidRDefault="00744239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44239" w:rsidRPr="007C5340" w:rsidRDefault="00744239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550CE" w:rsidRPr="007C5340" w:rsidRDefault="007550CE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550CE" w:rsidRPr="007C5340" w:rsidRDefault="007550CE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52EB9" w:rsidRDefault="00652EB9" w:rsidP="005912A8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652EB9" w:rsidRDefault="00652EB9" w:rsidP="005912A8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652EB9" w:rsidRDefault="00652EB9" w:rsidP="005912A8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346F0A" w:rsidRDefault="00346F0A" w:rsidP="00F25E5C">
      <w:pPr>
        <w:spacing w:line="360" w:lineRule="auto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346F0A" w:rsidRDefault="00346F0A" w:rsidP="005912A8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  <w:lang w:val="es-BO"/>
        </w:rPr>
      </w:pPr>
    </w:p>
    <w:p w:rsidR="00246CED" w:rsidRPr="007C5340" w:rsidRDefault="00246CED" w:rsidP="005912A8">
      <w:pPr>
        <w:spacing w:line="360" w:lineRule="auto"/>
        <w:jc w:val="center"/>
        <w:rPr>
          <w:rFonts w:ascii="Times New Roman" w:eastAsiaTheme="minorHAnsi" w:hAnsi="Times New Roman"/>
          <w:sz w:val="18"/>
          <w:szCs w:val="18"/>
          <w:lang w:val="es-BO"/>
        </w:rPr>
      </w:pPr>
      <w:r w:rsidRPr="007C5340">
        <w:rPr>
          <w:rFonts w:ascii="Times New Roman" w:eastAsiaTheme="minorHAnsi" w:hAnsi="Times New Roman"/>
          <w:i/>
          <w:sz w:val="18"/>
          <w:szCs w:val="18"/>
          <w:lang w:val="es-BO"/>
        </w:rPr>
        <w:t>Fuente:</w:t>
      </w:r>
      <w:r w:rsidRPr="007C5340">
        <w:rPr>
          <w:rFonts w:ascii="Times New Roman" w:eastAsiaTheme="minorHAnsi" w:hAnsi="Times New Roman"/>
          <w:sz w:val="18"/>
          <w:szCs w:val="18"/>
          <w:lang w:val="es-BO"/>
        </w:rPr>
        <w:t xml:space="preserve"> Historia clínica individual.</w:t>
      </w:r>
    </w:p>
    <w:p w:rsidR="00246CED" w:rsidRPr="007C5340" w:rsidRDefault="00246CED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es-BO"/>
        </w:rPr>
      </w:pPr>
    </w:p>
    <w:p w:rsidR="000B5699" w:rsidRPr="007C5340" w:rsidRDefault="00595AA1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sz w:val="24"/>
          <w:szCs w:val="24"/>
        </w:rPr>
        <w:t>La figura 1</w:t>
      </w:r>
      <w:r w:rsidR="002F1BF5" w:rsidRPr="007C5340">
        <w:rPr>
          <w:rFonts w:ascii="Times New Roman" w:eastAsiaTheme="minorHAnsi" w:hAnsi="Times New Roman"/>
          <w:sz w:val="24"/>
          <w:szCs w:val="24"/>
        </w:rPr>
        <w:t xml:space="preserve"> ilustra la distribución de pacientes con diagnóstico de infertilidad según nivel educacional, resultando más frecuente las atenciones de profesionales u</w:t>
      </w:r>
      <w:r w:rsidR="00BB221B" w:rsidRPr="007C5340">
        <w:rPr>
          <w:rFonts w:ascii="Times New Roman" w:eastAsiaTheme="minorHAnsi" w:hAnsi="Times New Roman"/>
          <w:sz w:val="24"/>
          <w:szCs w:val="24"/>
        </w:rPr>
        <w:t>niversitarias</w:t>
      </w:r>
      <w:r w:rsidR="0079048C">
        <w:rPr>
          <w:rFonts w:ascii="Times New Roman" w:eastAsiaTheme="minorHAnsi" w:hAnsi="Times New Roman"/>
          <w:sz w:val="24"/>
          <w:szCs w:val="24"/>
        </w:rPr>
        <w:t xml:space="preserve"> (45,4 %) y de las que culminaron estudios secundarios (28,6 %), entretanto en los</w:t>
      </w:r>
      <w:r w:rsidR="003B1C7A" w:rsidRPr="007C5340">
        <w:rPr>
          <w:rFonts w:ascii="Times New Roman" w:eastAsiaTheme="minorHAnsi" w:hAnsi="Times New Roman"/>
          <w:sz w:val="24"/>
          <w:szCs w:val="24"/>
        </w:rPr>
        <w:t xml:space="preserve"> hábitos tóx</w:t>
      </w:r>
      <w:r w:rsidR="0079048C">
        <w:rPr>
          <w:rFonts w:ascii="Times New Roman" w:eastAsiaTheme="minorHAnsi" w:hAnsi="Times New Roman"/>
          <w:sz w:val="24"/>
          <w:szCs w:val="24"/>
        </w:rPr>
        <w:t>icos existió</w:t>
      </w:r>
      <w:r w:rsidR="003B1C7A" w:rsidRPr="007C5340">
        <w:rPr>
          <w:rFonts w:ascii="Times New Roman" w:eastAsiaTheme="minorHAnsi" w:hAnsi="Times New Roman"/>
          <w:sz w:val="24"/>
          <w:szCs w:val="24"/>
        </w:rPr>
        <w:t xml:space="preserve"> pred</w:t>
      </w:r>
      <w:r w:rsidR="0079048C">
        <w:rPr>
          <w:rFonts w:ascii="Times New Roman" w:eastAsiaTheme="minorHAnsi" w:hAnsi="Times New Roman"/>
          <w:sz w:val="24"/>
          <w:szCs w:val="24"/>
        </w:rPr>
        <w:t>ominio de pacientes con antecedentes de consumo de</w:t>
      </w:r>
      <w:r w:rsidR="003B1C7A" w:rsidRPr="007C5340">
        <w:rPr>
          <w:rFonts w:ascii="Times New Roman" w:eastAsiaTheme="minorHAnsi" w:hAnsi="Times New Roman"/>
          <w:sz w:val="24"/>
          <w:szCs w:val="24"/>
        </w:rPr>
        <w:t xml:space="preserve"> café (24,0 %) y tabaco (14,5 %)</w:t>
      </w:r>
      <w:r w:rsidR="00942BFF" w:rsidRPr="007C5340">
        <w:rPr>
          <w:rFonts w:ascii="Times New Roman" w:eastAsiaTheme="minorHAnsi" w:hAnsi="Times New Roman"/>
          <w:sz w:val="24"/>
          <w:szCs w:val="24"/>
        </w:rPr>
        <w:t>.</w:t>
      </w:r>
    </w:p>
    <w:p w:rsidR="00744239" w:rsidRPr="007C5340" w:rsidRDefault="006A1327" w:rsidP="00F25E5C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val="en-US"/>
        </w:rPr>
        <w:drawing>
          <wp:inline distT="0" distB="0" distL="0" distR="0">
            <wp:extent cx="4667250" cy="252412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1199" w:rsidRPr="007C5340" w:rsidRDefault="0079048C" w:rsidP="00657D3A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  <w:lang w:val="es-BO"/>
        </w:rPr>
      </w:pPr>
      <w:r>
        <w:rPr>
          <w:rFonts w:ascii="Times New Roman" w:eastAsiaTheme="minorHAnsi" w:hAnsi="Times New Roman"/>
          <w:bCs/>
          <w:sz w:val="24"/>
          <w:szCs w:val="24"/>
          <w:lang w:val="es-BO"/>
        </w:rPr>
        <w:lastRenderedPageBreak/>
        <w:t>Fig. 1</w:t>
      </w:r>
      <w:r w:rsidR="00491199" w:rsidRPr="007C5340">
        <w:rPr>
          <w:rFonts w:ascii="Times New Roman" w:eastAsiaTheme="minorHAnsi" w:hAnsi="Times New Roman"/>
          <w:bCs/>
          <w:sz w:val="24"/>
          <w:szCs w:val="24"/>
          <w:lang w:val="es-BO"/>
        </w:rPr>
        <w:t xml:space="preserve"> - Distribución del total de pacientes con diagnóstico de infertilidad según hábitos tóxicos</w:t>
      </w:r>
      <w:r w:rsidR="0043005D">
        <w:rPr>
          <w:rFonts w:ascii="Times New Roman" w:eastAsiaTheme="minorHAnsi" w:hAnsi="Times New Roman"/>
          <w:bCs/>
          <w:sz w:val="24"/>
          <w:szCs w:val="24"/>
          <w:lang w:val="es-BO"/>
        </w:rPr>
        <w:t xml:space="preserve"> y nivel educacional</w:t>
      </w:r>
      <w:r w:rsidR="00491199" w:rsidRPr="007C5340">
        <w:rPr>
          <w:rFonts w:ascii="Times New Roman" w:eastAsiaTheme="minorHAnsi" w:hAnsi="Times New Roman"/>
          <w:bCs/>
          <w:sz w:val="24"/>
          <w:szCs w:val="24"/>
          <w:lang w:val="es-BO"/>
        </w:rPr>
        <w:t>.</w:t>
      </w:r>
    </w:p>
    <w:p w:rsidR="00744239" w:rsidRPr="007C5340" w:rsidRDefault="00744239" w:rsidP="00657D3A">
      <w:pPr>
        <w:spacing w:line="36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7C5340">
        <w:rPr>
          <w:rFonts w:ascii="Times New Roman" w:eastAsiaTheme="minorHAnsi" w:hAnsi="Times New Roman"/>
          <w:i/>
          <w:sz w:val="18"/>
          <w:szCs w:val="18"/>
        </w:rPr>
        <w:t>Fuente:</w:t>
      </w:r>
      <w:r w:rsidRPr="007C5340">
        <w:rPr>
          <w:rFonts w:ascii="Times New Roman" w:eastAsiaTheme="minorHAnsi" w:hAnsi="Times New Roman"/>
          <w:sz w:val="18"/>
          <w:szCs w:val="18"/>
        </w:rPr>
        <w:t xml:space="preserve"> Historia clínica individual</w:t>
      </w:r>
      <w:r w:rsidR="00491199" w:rsidRPr="007C5340">
        <w:rPr>
          <w:rFonts w:ascii="Times New Roman" w:eastAsiaTheme="minorHAnsi" w:hAnsi="Times New Roman"/>
          <w:sz w:val="18"/>
          <w:szCs w:val="18"/>
        </w:rPr>
        <w:t>.</w:t>
      </w:r>
    </w:p>
    <w:p w:rsidR="00744239" w:rsidRPr="007C5340" w:rsidRDefault="00994457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sz w:val="24"/>
          <w:szCs w:val="24"/>
        </w:rPr>
        <w:t xml:space="preserve">En la tabla 3 </w:t>
      </w:r>
      <w:r w:rsidR="00103B51" w:rsidRPr="007C5340">
        <w:rPr>
          <w:rFonts w:ascii="Times New Roman" w:eastAsiaTheme="minorHAnsi" w:hAnsi="Times New Roman"/>
          <w:sz w:val="24"/>
          <w:szCs w:val="24"/>
        </w:rPr>
        <w:t>se relacionan los principales factores de riesgo recogidos en el total de pacientes con diagnóstico de infertilidad estudiadas, siendo más frecuente las enfermedades</w:t>
      </w:r>
      <w:r w:rsidR="000E7528" w:rsidRPr="007C5340">
        <w:rPr>
          <w:rFonts w:ascii="Times New Roman" w:eastAsiaTheme="minorHAnsi" w:hAnsi="Times New Roman"/>
          <w:sz w:val="24"/>
          <w:szCs w:val="24"/>
        </w:rPr>
        <w:t xml:space="preserve"> de transmisión sexual (ETS) con</w:t>
      </w:r>
      <w:r w:rsidR="00103B51" w:rsidRPr="007C5340">
        <w:rPr>
          <w:rFonts w:ascii="Times New Roman" w:eastAsiaTheme="minorHAnsi" w:hAnsi="Times New Roman"/>
          <w:sz w:val="24"/>
          <w:szCs w:val="24"/>
        </w:rPr>
        <w:t xml:space="preserve"> el 24,7 %, seguido por el uso de anticonceptivos (21,1 %) y </w:t>
      </w:r>
      <w:r w:rsidR="00C839EC" w:rsidRPr="007C5340">
        <w:rPr>
          <w:rFonts w:ascii="Times New Roman" w:eastAsiaTheme="minorHAnsi" w:hAnsi="Times New Roman"/>
          <w:sz w:val="24"/>
          <w:szCs w:val="24"/>
        </w:rPr>
        <w:t>el antecedente de embarazo ectópico (15,1 %).</w:t>
      </w:r>
    </w:p>
    <w:p w:rsidR="002978FA" w:rsidRPr="007C5340" w:rsidRDefault="002978FA" w:rsidP="00657D3A">
      <w:pPr>
        <w:spacing w:line="360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</w:p>
    <w:p w:rsidR="00D85545" w:rsidRPr="007C5340" w:rsidRDefault="002978FA" w:rsidP="00657D3A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sz w:val="24"/>
          <w:szCs w:val="24"/>
        </w:rPr>
        <w:t>Tabla 3 - Distribución de pacientes con diagnóstico de infertilidad según presencia de factores de riesgo ginecológicos</w:t>
      </w:r>
    </w:p>
    <w:tbl>
      <w:tblPr>
        <w:tblStyle w:val="Estilo11"/>
        <w:tblpPr w:leftFromText="180" w:rightFromText="180" w:vertAnchor="text" w:tblpXSpec="center" w:tblpY="1"/>
        <w:tblOverlap w:val="never"/>
        <w:tblW w:w="5550" w:type="dxa"/>
        <w:tblLayout w:type="fixed"/>
        <w:tblLook w:val="04A0" w:firstRow="1" w:lastRow="0" w:firstColumn="1" w:lastColumn="0" w:noHBand="0" w:noVBand="1"/>
      </w:tblPr>
      <w:tblGrid>
        <w:gridCol w:w="3827"/>
        <w:gridCol w:w="872"/>
        <w:gridCol w:w="851"/>
      </w:tblGrid>
      <w:tr w:rsidR="00744239" w:rsidRPr="007C5340" w:rsidTr="00844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8"/>
        </w:trPr>
        <w:tc>
          <w:tcPr>
            <w:tcW w:w="3767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Factores de riesgo</w:t>
            </w:r>
            <w:r w:rsidR="00D84E1E"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 xml:space="preserve"> ginecológicos</w:t>
            </w:r>
          </w:p>
        </w:tc>
        <w:tc>
          <w:tcPr>
            <w:tcW w:w="83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%</w:t>
            </w:r>
          </w:p>
        </w:tc>
      </w:tr>
      <w:tr w:rsidR="00744239" w:rsidRPr="007C5340" w:rsidTr="00844F1C">
        <w:trPr>
          <w:cantSplit/>
          <w:trHeight w:val="141"/>
        </w:trPr>
        <w:tc>
          <w:tcPr>
            <w:tcW w:w="3767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Cirugías pélvicas</w:t>
            </w:r>
          </w:p>
        </w:tc>
        <w:tc>
          <w:tcPr>
            <w:tcW w:w="83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23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7,6</w:t>
            </w:r>
          </w:p>
        </w:tc>
      </w:tr>
      <w:tr w:rsidR="00744239" w:rsidRPr="007C5340" w:rsidTr="00844F1C">
        <w:trPr>
          <w:cantSplit/>
          <w:trHeight w:val="141"/>
        </w:trPr>
        <w:tc>
          <w:tcPr>
            <w:tcW w:w="3767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Inflamación pélvica</w:t>
            </w:r>
          </w:p>
        </w:tc>
        <w:tc>
          <w:tcPr>
            <w:tcW w:w="83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42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13,8</w:t>
            </w:r>
          </w:p>
        </w:tc>
      </w:tr>
      <w:tr w:rsidR="00744239" w:rsidRPr="007C5340" w:rsidTr="00844F1C">
        <w:trPr>
          <w:cantSplit/>
          <w:trHeight w:val="141"/>
        </w:trPr>
        <w:tc>
          <w:tcPr>
            <w:tcW w:w="3767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Uso de anticonceptivos</w:t>
            </w:r>
          </w:p>
        </w:tc>
        <w:tc>
          <w:tcPr>
            <w:tcW w:w="83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64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21,1</w:t>
            </w:r>
          </w:p>
        </w:tc>
      </w:tr>
      <w:tr w:rsidR="00744239" w:rsidRPr="007C5340" w:rsidTr="00844F1C">
        <w:trPr>
          <w:cantSplit/>
          <w:trHeight w:val="141"/>
        </w:trPr>
        <w:tc>
          <w:tcPr>
            <w:tcW w:w="3767" w:type="dxa"/>
            <w:vAlign w:val="center"/>
          </w:tcPr>
          <w:p w:rsidR="00744239" w:rsidRPr="007C5340" w:rsidRDefault="002B6B5C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Enfermedades de transmisión sexual (ETS)</w:t>
            </w:r>
          </w:p>
        </w:tc>
        <w:tc>
          <w:tcPr>
            <w:tcW w:w="83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75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24,7</w:t>
            </w:r>
          </w:p>
        </w:tc>
      </w:tr>
      <w:tr w:rsidR="00744239" w:rsidRPr="007C5340" w:rsidTr="00844F1C">
        <w:trPr>
          <w:cantSplit/>
          <w:trHeight w:val="141"/>
        </w:trPr>
        <w:tc>
          <w:tcPr>
            <w:tcW w:w="3767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Abortos</w:t>
            </w:r>
          </w:p>
        </w:tc>
        <w:tc>
          <w:tcPr>
            <w:tcW w:w="83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5,9</w:t>
            </w:r>
          </w:p>
        </w:tc>
      </w:tr>
      <w:tr w:rsidR="00744239" w:rsidRPr="007C5340" w:rsidTr="00844F1C">
        <w:trPr>
          <w:cantSplit/>
          <w:trHeight w:val="141"/>
        </w:trPr>
        <w:tc>
          <w:tcPr>
            <w:tcW w:w="3767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Embarazo ectópico</w:t>
            </w:r>
          </w:p>
        </w:tc>
        <w:tc>
          <w:tcPr>
            <w:tcW w:w="832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46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15,1</w:t>
            </w:r>
          </w:p>
        </w:tc>
      </w:tr>
    </w:tbl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1422F" w:rsidRPr="007C5340" w:rsidRDefault="00F1422F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271B5" w:rsidRDefault="005271B5" w:rsidP="00657D3A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</w:rPr>
      </w:pPr>
    </w:p>
    <w:p w:rsidR="005271B5" w:rsidRDefault="005271B5" w:rsidP="00657D3A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</w:rPr>
      </w:pPr>
    </w:p>
    <w:p w:rsidR="007E31C2" w:rsidRDefault="007E31C2" w:rsidP="00657D3A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</w:rPr>
      </w:pPr>
    </w:p>
    <w:p w:rsidR="00844F1C" w:rsidRPr="007C5340" w:rsidRDefault="00844F1C" w:rsidP="00657D3A">
      <w:pPr>
        <w:spacing w:line="36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7C5340">
        <w:rPr>
          <w:rFonts w:ascii="Times New Roman" w:eastAsiaTheme="minorHAnsi" w:hAnsi="Times New Roman"/>
          <w:i/>
          <w:sz w:val="18"/>
          <w:szCs w:val="18"/>
        </w:rPr>
        <w:t>Fuente:</w:t>
      </w:r>
      <w:r w:rsidRPr="007C5340">
        <w:rPr>
          <w:rFonts w:ascii="Times New Roman" w:eastAsiaTheme="minorHAnsi" w:hAnsi="Times New Roman"/>
          <w:sz w:val="18"/>
          <w:szCs w:val="18"/>
        </w:rPr>
        <w:t xml:space="preserve"> Historia clínica individual.</w:t>
      </w:r>
    </w:p>
    <w:p w:rsidR="00ED3993" w:rsidRPr="007C5340" w:rsidRDefault="00BF77BA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sz w:val="24"/>
          <w:szCs w:val="24"/>
        </w:rPr>
        <w:t>Atendiendo a los antecedentes patológicos personales de las pacientes objeto de estudio (tabla 4)</w:t>
      </w:r>
      <w:r w:rsidR="0008029B" w:rsidRPr="007C5340">
        <w:rPr>
          <w:rFonts w:ascii="Times New Roman" w:eastAsiaTheme="minorHAnsi" w:hAnsi="Times New Roman"/>
          <w:sz w:val="24"/>
          <w:szCs w:val="24"/>
        </w:rPr>
        <w:t>,</w:t>
      </w:r>
      <w:r w:rsidRPr="007C5340">
        <w:rPr>
          <w:rFonts w:ascii="Times New Roman" w:eastAsiaTheme="minorHAnsi" w:hAnsi="Times New Roman"/>
          <w:sz w:val="24"/>
          <w:szCs w:val="24"/>
        </w:rPr>
        <w:t xml:space="preserve"> obtuvimos que </w:t>
      </w:r>
      <w:r w:rsidR="0008029B" w:rsidRPr="007C5340">
        <w:rPr>
          <w:rFonts w:ascii="Times New Roman" w:eastAsiaTheme="minorHAnsi" w:hAnsi="Times New Roman"/>
          <w:sz w:val="24"/>
          <w:szCs w:val="24"/>
        </w:rPr>
        <w:t xml:space="preserve">el 13,5 % presenta </w:t>
      </w:r>
      <w:r w:rsidR="00317EC8">
        <w:rPr>
          <w:rFonts w:ascii="Times New Roman" w:eastAsiaTheme="minorHAnsi" w:hAnsi="Times New Roman"/>
          <w:sz w:val="24"/>
          <w:szCs w:val="24"/>
        </w:rPr>
        <w:t>obesidad, 6,6 % Asma bronquial y 5,3 % Hipertensión a</w:t>
      </w:r>
      <w:r w:rsidR="0008029B" w:rsidRPr="007C5340">
        <w:rPr>
          <w:rFonts w:ascii="Times New Roman" w:eastAsiaTheme="minorHAnsi" w:hAnsi="Times New Roman"/>
          <w:sz w:val="24"/>
          <w:szCs w:val="24"/>
        </w:rPr>
        <w:t>rterial.</w:t>
      </w:r>
    </w:p>
    <w:p w:rsidR="00302407" w:rsidRPr="007C5340" w:rsidRDefault="00302407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33D7B" w:rsidRPr="007C5340" w:rsidRDefault="00302407" w:rsidP="00657D3A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sz w:val="24"/>
          <w:szCs w:val="24"/>
        </w:rPr>
        <w:t>Tabla 4 - Distribución de pacientes con diagnóstico de infertilidad según antecedentes patológicos personales</w:t>
      </w:r>
    </w:p>
    <w:tbl>
      <w:tblPr>
        <w:tblStyle w:val="Estilo11"/>
        <w:tblpPr w:leftFromText="180" w:rightFromText="180" w:vertAnchor="text" w:tblpXSpec="center" w:tblpY="1"/>
        <w:tblOverlap w:val="never"/>
        <w:tblW w:w="5550" w:type="dxa"/>
        <w:tblLayout w:type="fixed"/>
        <w:tblLook w:val="04A0" w:firstRow="1" w:lastRow="0" w:firstColumn="1" w:lastColumn="0" w:noHBand="0" w:noVBand="1"/>
      </w:tblPr>
      <w:tblGrid>
        <w:gridCol w:w="3931"/>
        <w:gridCol w:w="768"/>
        <w:gridCol w:w="851"/>
      </w:tblGrid>
      <w:tr w:rsidR="00744239" w:rsidRPr="007C5340" w:rsidTr="00F3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0"/>
        </w:trPr>
        <w:tc>
          <w:tcPr>
            <w:tcW w:w="387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Antecedentes personales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</w:pPr>
            <w:r w:rsidRPr="007C5340">
              <w:rPr>
                <w:rFonts w:ascii="Times New Roman" w:hAnsi="Times New Roman"/>
                <w:spacing w:val="-3"/>
                <w:sz w:val="18"/>
                <w:szCs w:val="18"/>
                <w:lang w:eastAsia="es-MX"/>
              </w:rPr>
              <w:t>%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444B1B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Asma b</w:t>
            </w:r>
            <w:r w:rsidR="00744239" w:rsidRPr="007C5340">
              <w:rPr>
                <w:rFonts w:ascii="Times New Roman" w:eastAsiaTheme="minorHAnsi" w:hAnsi="Times New Roman"/>
                <w:sz w:val="18"/>
                <w:szCs w:val="18"/>
              </w:rPr>
              <w:t>ronquial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24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6,6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Cardiopatía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5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1,6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444B1B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Cefalea m</w:t>
            </w:r>
            <w:r w:rsidR="00744239" w:rsidRPr="007C5340">
              <w:rPr>
                <w:rFonts w:ascii="Times New Roman" w:eastAsiaTheme="minorHAnsi" w:hAnsi="Times New Roman"/>
                <w:sz w:val="18"/>
                <w:szCs w:val="18"/>
              </w:rPr>
              <w:t>igrañosa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0,7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444B1B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Diabetes m</w:t>
            </w:r>
            <w:r w:rsidR="00744239" w:rsidRPr="007C5340">
              <w:rPr>
                <w:rFonts w:ascii="Times New Roman" w:eastAsiaTheme="minorHAnsi" w:hAnsi="Times New Roman"/>
                <w:sz w:val="18"/>
                <w:szCs w:val="18"/>
              </w:rPr>
              <w:t>ellitus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13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4,3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444B1B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Enfermedades g</w:t>
            </w:r>
            <w:r w:rsidR="00744239" w:rsidRPr="007C5340">
              <w:rPr>
                <w:rFonts w:ascii="Times New Roman" w:eastAsiaTheme="minorHAnsi" w:hAnsi="Times New Roman"/>
                <w:sz w:val="18"/>
                <w:szCs w:val="18"/>
              </w:rPr>
              <w:t>enéticas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1,0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Epilepsia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0,7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444B1B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Hipertensión a</w:t>
            </w:r>
            <w:r w:rsidR="00744239" w:rsidRPr="007C5340">
              <w:rPr>
                <w:rFonts w:ascii="Times New Roman" w:eastAsiaTheme="minorHAnsi" w:hAnsi="Times New Roman"/>
                <w:sz w:val="18"/>
                <w:szCs w:val="18"/>
              </w:rPr>
              <w:t>rterial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16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5,3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Obesidad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41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13,5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Otras enfermedades endocrino-metabólicas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8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2,6</w:t>
            </w:r>
          </w:p>
        </w:tc>
      </w:tr>
      <w:tr w:rsidR="00744239" w:rsidRPr="007C5340" w:rsidTr="00F33D7B">
        <w:trPr>
          <w:cantSplit/>
          <w:trHeight w:val="77"/>
        </w:trPr>
        <w:tc>
          <w:tcPr>
            <w:tcW w:w="387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Nada a señalar</w:t>
            </w:r>
          </w:p>
        </w:tc>
        <w:tc>
          <w:tcPr>
            <w:tcW w:w="728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170</w:t>
            </w:r>
          </w:p>
        </w:tc>
        <w:tc>
          <w:tcPr>
            <w:tcW w:w="791" w:type="dxa"/>
            <w:vAlign w:val="center"/>
          </w:tcPr>
          <w:p w:rsidR="00744239" w:rsidRPr="007C5340" w:rsidRDefault="00744239" w:rsidP="00657D3A">
            <w:pPr>
              <w:spacing w:line="36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C5340">
              <w:rPr>
                <w:rFonts w:ascii="Times New Roman" w:eastAsiaTheme="minorHAnsi" w:hAnsi="Times New Roman"/>
                <w:sz w:val="18"/>
                <w:szCs w:val="18"/>
              </w:rPr>
              <w:t>55,9</w:t>
            </w:r>
          </w:p>
        </w:tc>
      </w:tr>
    </w:tbl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54886" w:rsidRPr="007C5340" w:rsidRDefault="00B54886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33D7B" w:rsidRPr="007C5340" w:rsidRDefault="00F33D7B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E31C2" w:rsidRDefault="007E31C2" w:rsidP="00657D3A">
      <w:pPr>
        <w:spacing w:line="360" w:lineRule="auto"/>
        <w:jc w:val="center"/>
        <w:rPr>
          <w:rFonts w:ascii="Times New Roman" w:eastAsiaTheme="minorHAnsi" w:hAnsi="Times New Roman"/>
          <w:i/>
          <w:sz w:val="18"/>
          <w:szCs w:val="18"/>
        </w:rPr>
      </w:pPr>
    </w:p>
    <w:p w:rsidR="00F33D7B" w:rsidRPr="007C5340" w:rsidRDefault="00302407" w:rsidP="00657D3A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i/>
          <w:sz w:val="18"/>
          <w:szCs w:val="18"/>
        </w:rPr>
        <w:t>Fuente:</w:t>
      </w:r>
      <w:r w:rsidRPr="007C5340">
        <w:rPr>
          <w:rFonts w:ascii="Times New Roman" w:eastAsiaTheme="minorHAnsi" w:hAnsi="Times New Roman"/>
          <w:sz w:val="18"/>
          <w:szCs w:val="18"/>
        </w:rPr>
        <w:t xml:space="preserve"> Historia clínica individual.</w:t>
      </w:r>
    </w:p>
    <w:p w:rsidR="00F33D7B" w:rsidRPr="007C5340" w:rsidRDefault="00F33D7B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44239" w:rsidRPr="007C5340" w:rsidRDefault="00744239" w:rsidP="00657D3A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C5340">
        <w:rPr>
          <w:rFonts w:ascii="Times New Roman" w:eastAsiaTheme="minorHAnsi" w:hAnsi="Times New Roman"/>
          <w:sz w:val="24"/>
          <w:szCs w:val="24"/>
        </w:rPr>
        <w:t>Del total de pacientes tratadas en consulta 1</w:t>
      </w:r>
      <w:r w:rsidR="00F81814" w:rsidRPr="007C5340">
        <w:rPr>
          <w:rFonts w:ascii="Times New Roman" w:eastAsiaTheme="minorHAnsi" w:hAnsi="Times New Roman"/>
          <w:sz w:val="24"/>
          <w:szCs w:val="24"/>
        </w:rPr>
        <w:t>01 (33,2 %) lograron el embarazo</w:t>
      </w:r>
      <w:r w:rsidRPr="007C5340">
        <w:rPr>
          <w:rFonts w:ascii="Times New Roman" w:eastAsiaTheme="minorHAnsi" w:hAnsi="Times New Roman"/>
          <w:sz w:val="24"/>
          <w:szCs w:val="24"/>
        </w:rPr>
        <w:t xml:space="preserve"> en el propio año, derivando 16 (5,3 %) a la atención terciaria (Centro de Alta</w:t>
      </w:r>
      <w:r w:rsidR="00CE5BA1">
        <w:rPr>
          <w:rFonts w:ascii="Times New Roman" w:eastAsiaTheme="minorHAnsi" w:hAnsi="Times New Roman"/>
          <w:sz w:val="24"/>
          <w:szCs w:val="24"/>
        </w:rPr>
        <w:t xml:space="preserve"> Tecnología</w:t>
      </w:r>
      <w:r w:rsidRPr="007C5340">
        <w:rPr>
          <w:rFonts w:ascii="Times New Roman" w:eastAsiaTheme="minorHAnsi" w:hAnsi="Times New Roman"/>
          <w:sz w:val="24"/>
          <w:szCs w:val="24"/>
        </w:rPr>
        <w:t>) por presentar problemas que requerían tratamiento con</w:t>
      </w:r>
      <w:r w:rsidR="00EC61C9" w:rsidRPr="007C5340">
        <w:rPr>
          <w:rFonts w:ascii="Times New Roman" w:eastAsiaTheme="minorHAnsi" w:hAnsi="Times New Roman"/>
          <w:sz w:val="24"/>
          <w:szCs w:val="24"/>
        </w:rPr>
        <w:t xml:space="preserve"> tecnología de punta</w:t>
      </w:r>
      <w:r w:rsidR="00E85C2F" w:rsidRPr="007C5340">
        <w:rPr>
          <w:rFonts w:ascii="Times New Roman" w:eastAsiaTheme="minorHAnsi" w:hAnsi="Times New Roman"/>
          <w:sz w:val="24"/>
          <w:szCs w:val="24"/>
        </w:rPr>
        <w:t>,</w:t>
      </w:r>
      <w:r w:rsidR="00EC61C9" w:rsidRPr="007C5340">
        <w:rPr>
          <w:rFonts w:ascii="Times New Roman" w:eastAsiaTheme="minorHAnsi" w:hAnsi="Times New Roman"/>
          <w:sz w:val="24"/>
          <w:szCs w:val="24"/>
        </w:rPr>
        <w:t xml:space="preserve"> y las restantes continúan en tratamiento.</w:t>
      </w:r>
    </w:p>
    <w:p w:rsidR="00192239" w:rsidRDefault="00192239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BO"/>
        </w:rPr>
      </w:pPr>
    </w:p>
    <w:p w:rsidR="00B92A1F" w:rsidRPr="007C5340" w:rsidRDefault="00192239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BO"/>
        </w:rPr>
      </w:pPr>
      <w:r>
        <w:rPr>
          <w:rFonts w:ascii="Times New Roman" w:hAnsi="Times New Roman"/>
          <w:b/>
          <w:sz w:val="24"/>
          <w:szCs w:val="24"/>
          <w:lang w:val="es-BO"/>
        </w:rPr>
        <w:t>DISCUSIÓN</w:t>
      </w:r>
    </w:p>
    <w:p w:rsidR="00D577E2" w:rsidRPr="007C5340" w:rsidRDefault="00BB2699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5340">
        <w:rPr>
          <w:rFonts w:ascii="Times New Roman" w:hAnsi="Times New Roman"/>
          <w:sz w:val="24"/>
          <w:szCs w:val="24"/>
        </w:rPr>
        <w:t xml:space="preserve">La infertilidad femenina constituye un problema de salud en Cuba, donde por diversos motivos, se ha constatado disminución considerable de la natalidad, así como incremento del envejecimiento poblacional. </w:t>
      </w:r>
    </w:p>
    <w:p w:rsidR="00490F4F" w:rsidRPr="007C5340" w:rsidRDefault="00BB2699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5340">
        <w:rPr>
          <w:rFonts w:ascii="Times New Roman" w:hAnsi="Times New Roman"/>
          <w:sz w:val="24"/>
          <w:szCs w:val="24"/>
        </w:rPr>
        <w:t>En la presente investigación las pacientes entre 30 y 34 años r</w:t>
      </w:r>
      <w:r w:rsidR="00D577E2" w:rsidRPr="007C5340">
        <w:rPr>
          <w:rFonts w:ascii="Times New Roman" w:hAnsi="Times New Roman"/>
          <w:sz w:val="24"/>
          <w:szCs w:val="24"/>
        </w:rPr>
        <w:t>esultaron las más representadas, coincidiendo</w:t>
      </w:r>
      <w:r w:rsidR="00FE7307" w:rsidRPr="007C5340">
        <w:rPr>
          <w:rFonts w:ascii="Times New Roman" w:hAnsi="Times New Roman"/>
          <w:sz w:val="24"/>
          <w:szCs w:val="24"/>
        </w:rPr>
        <w:t xml:space="preserve"> con lo </w:t>
      </w:r>
      <w:r w:rsidRPr="007C5340">
        <w:rPr>
          <w:rFonts w:ascii="Times New Roman" w:hAnsi="Times New Roman"/>
          <w:sz w:val="24"/>
          <w:szCs w:val="24"/>
        </w:rPr>
        <w:t>re</w:t>
      </w:r>
      <w:r w:rsidR="00FE7307" w:rsidRPr="007C5340">
        <w:rPr>
          <w:rFonts w:ascii="Times New Roman" w:hAnsi="Times New Roman"/>
          <w:sz w:val="24"/>
          <w:szCs w:val="24"/>
        </w:rPr>
        <w:t>portado</w:t>
      </w:r>
      <w:r w:rsidR="00BC2F75" w:rsidRPr="007C5340">
        <w:rPr>
          <w:rFonts w:ascii="Times New Roman" w:hAnsi="Times New Roman"/>
          <w:sz w:val="24"/>
          <w:szCs w:val="24"/>
        </w:rPr>
        <w:t xml:space="preserve"> por Cabrera Figueredo</w:t>
      </w:r>
      <w:r w:rsidR="003659BB" w:rsidRPr="007C5340">
        <w:rPr>
          <w:rFonts w:ascii="Times New Roman" w:hAnsi="Times New Roman"/>
          <w:sz w:val="24"/>
          <w:szCs w:val="24"/>
        </w:rPr>
        <w:t xml:space="preserve"> y </w:t>
      </w:r>
      <w:proofErr w:type="gramStart"/>
      <w:r w:rsidR="003659BB" w:rsidRPr="007C5340">
        <w:rPr>
          <w:rFonts w:ascii="Times New Roman" w:hAnsi="Times New Roman"/>
          <w:sz w:val="24"/>
          <w:szCs w:val="24"/>
        </w:rPr>
        <w:t>otros,</w:t>
      </w:r>
      <w:r w:rsidRPr="007C5340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3C4620" w:rsidRPr="007C5340">
        <w:rPr>
          <w:rFonts w:ascii="Times New Roman" w:hAnsi="Times New Roman"/>
          <w:noProof/>
          <w:sz w:val="24"/>
          <w:szCs w:val="24"/>
          <w:vertAlign w:val="superscript"/>
        </w:rPr>
        <w:t>9</w:t>
      </w:r>
      <w:r w:rsidRPr="007C5340">
        <w:rPr>
          <w:rFonts w:ascii="Times New Roman" w:hAnsi="Times New Roman"/>
          <w:noProof/>
          <w:sz w:val="24"/>
          <w:szCs w:val="24"/>
          <w:vertAlign w:val="superscript"/>
        </w:rPr>
        <w:t>)</w:t>
      </w:r>
      <w:r w:rsidR="0079729F" w:rsidRPr="007C5340">
        <w:rPr>
          <w:rFonts w:ascii="Times New Roman" w:hAnsi="Times New Roman"/>
          <w:sz w:val="24"/>
          <w:szCs w:val="24"/>
        </w:rPr>
        <w:t xml:space="preserve"> quienes en un estudio</w:t>
      </w:r>
      <w:r w:rsidRPr="007C5340">
        <w:rPr>
          <w:rFonts w:ascii="Times New Roman" w:hAnsi="Times New Roman"/>
          <w:sz w:val="24"/>
          <w:szCs w:val="24"/>
        </w:rPr>
        <w:t>, en el mismo escenario asistencial, pero en un period</w:t>
      </w:r>
      <w:r w:rsidR="00BC2F75" w:rsidRPr="007C5340">
        <w:rPr>
          <w:rFonts w:ascii="Times New Roman" w:hAnsi="Times New Roman"/>
          <w:sz w:val="24"/>
          <w:szCs w:val="24"/>
        </w:rPr>
        <w:t xml:space="preserve">o anterior, hallan predominio de </w:t>
      </w:r>
      <w:r w:rsidR="0063779F" w:rsidRPr="007C5340">
        <w:rPr>
          <w:rFonts w:ascii="Times New Roman" w:hAnsi="Times New Roman"/>
          <w:sz w:val="24"/>
          <w:szCs w:val="24"/>
        </w:rPr>
        <w:t xml:space="preserve">mujeres entre 29-35 años </w:t>
      </w:r>
      <w:r w:rsidR="00BC2F75" w:rsidRPr="007C5340">
        <w:rPr>
          <w:rFonts w:ascii="Times New Roman" w:hAnsi="Times New Roman"/>
          <w:sz w:val="24"/>
          <w:szCs w:val="24"/>
        </w:rPr>
        <w:t>(41,6 %)</w:t>
      </w:r>
      <w:r w:rsidR="0063779F" w:rsidRPr="007C5340">
        <w:rPr>
          <w:rFonts w:ascii="Times New Roman" w:hAnsi="Times New Roman"/>
          <w:sz w:val="24"/>
          <w:szCs w:val="24"/>
        </w:rPr>
        <w:t>,</w:t>
      </w:r>
      <w:r w:rsidR="00BC2F75" w:rsidRPr="007C5340">
        <w:rPr>
          <w:rFonts w:ascii="Times New Roman" w:hAnsi="Times New Roman"/>
          <w:sz w:val="24"/>
          <w:szCs w:val="24"/>
        </w:rPr>
        <w:t xml:space="preserve"> seguido por las de 22-28 años (41,1 %).</w:t>
      </w:r>
    </w:p>
    <w:p w:rsidR="00CF1467" w:rsidRPr="007C5340" w:rsidRDefault="00CF1467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Los resultados obtenidos</w:t>
      </w:r>
      <w:r w:rsidR="00693D6A" w:rsidRPr="007C5340">
        <w:rPr>
          <w:rFonts w:ascii="Times New Roman" w:hAnsi="Times New Roman" w:cs="Times New Roman"/>
        </w:rPr>
        <w:t xml:space="preserve"> no coinciden con los informado</w:t>
      </w:r>
      <w:r w:rsidRPr="007C5340">
        <w:rPr>
          <w:rFonts w:ascii="Times New Roman" w:hAnsi="Times New Roman" w:cs="Times New Roman"/>
        </w:rPr>
        <w:t xml:space="preserve"> en la provincia Sant</w:t>
      </w:r>
      <w:r w:rsidR="003659BB" w:rsidRPr="007C5340">
        <w:rPr>
          <w:rFonts w:ascii="Times New Roman" w:hAnsi="Times New Roman" w:cs="Times New Roman"/>
        </w:rPr>
        <w:t>iago de Cuba por Ramírez Morá</w:t>
      </w:r>
      <w:r w:rsidR="003C4620" w:rsidRPr="007C5340">
        <w:rPr>
          <w:rFonts w:ascii="Times New Roman" w:hAnsi="Times New Roman" w:cs="Times New Roman"/>
        </w:rPr>
        <w:t>n</w:t>
      </w:r>
      <w:r w:rsidR="003659BB" w:rsidRPr="007C5340">
        <w:rPr>
          <w:rFonts w:ascii="Times New Roman" w:hAnsi="Times New Roman" w:cs="Times New Roman"/>
        </w:rPr>
        <w:t xml:space="preserve"> y </w:t>
      </w:r>
      <w:proofErr w:type="gramStart"/>
      <w:r w:rsidR="003659BB" w:rsidRPr="007C5340">
        <w:rPr>
          <w:rFonts w:ascii="Times New Roman" w:hAnsi="Times New Roman" w:cs="Times New Roman"/>
        </w:rPr>
        <w:t>otros,</w:t>
      </w:r>
      <w:r w:rsidR="00BC1BF5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</w:rPr>
        <w:t>8</w:t>
      </w:r>
      <w:r w:rsidR="00BC1BF5" w:rsidRPr="007C5340">
        <w:rPr>
          <w:rFonts w:ascii="Times New Roman" w:hAnsi="Times New Roman" w:cs="Times New Roman"/>
          <w:noProof/>
          <w:vertAlign w:val="superscript"/>
        </w:rPr>
        <w:t>)</w:t>
      </w:r>
      <w:r w:rsidR="000A19EE" w:rsidRPr="007C5340">
        <w:rPr>
          <w:rFonts w:ascii="Times New Roman" w:hAnsi="Times New Roman" w:cs="Times New Roman"/>
        </w:rPr>
        <w:t xml:space="preserve"> que encontraron</w:t>
      </w:r>
      <w:r w:rsidR="00087BA2" w:rsidRPr="007C5340">
        <w:rPr>
          <w:rFonts w:ascii="Times New Roman" w:hAnsi="Times New Roman" w:cs="Times New Roman"/>
        </w:rPr>
        <w:t xml:space="preserve"> </w:t>
      </w:r>
      <w:r w:rsidR="000A19EE" w:rsidRPr="007C5340">
        <w:rPr>
          <w:rFonts w:ascii="Times New Roman" w:hAnsi="Times New Roman" w:cs="Times New Roman"/>
        </w:rPr>
        <w:t xml:space="preserve">edades superiores a los 40 años (32,2 %) </w:t>
      </w:r>
      <w:r w:rsidR="00322D61" w:rsidRPr="007C5340">
        <w:rPr>
          <w:rFonts w:ascii="Times New Roman" w:hAnsi="Times New Roman" w:cs="Times New Roman"/>
        </w:rPr>
        <w:t xml:space="preserve">en un estudio de </w:t>
      </w:r>
      <w:r w:rsidR="00F10B6A" w:rsidRPr="007C5340">
        <w:rPr>
          <w:rFonts w:ascii="Times New Roman" w:hAnsi="Times New Roman" w:cs="Times New Roman"/>
        </w:rPr>
        <w:t>132 féminas</w:t>
      </w:r>
      <w:r w:rsidR="000A19EE" w:rsidRPr="007C5340">
        <w:rPr>
          <w:rFonts w:ascii="Times New Roman" w:hAnsi="Times New Roman" w:cs="Times New Roman"/>
        </w:rPr>
        <w:t xml:space="preserve"> infértiles. </w:t>
      </w:r>
      <w:r w:rsidRPr="007C5340">
        <w:rPr>
          <w:rFonts w:ascii="Times New Roman" w:hAnsi="Times New Roman" w:cs="Times New Roman"/>
        </w:rPr>
        <w:t xml:space="preserve">Aunque estos investigadores incluyen mayor número </w:t>
      </w:r>
      <w:r w:rsidRPr="007C5340">
        <w:rPr>
          <w:rFonts w:ascii="Times New Roman" w:hAnsi="Times New Roman" w:cs="Times New Roman"/>
        </w:rPr>
        <w:lastRenderedPageBreak/>
        <w:t>de mujeres con edad superior a los 40 años, es d</w:t>
      </w:r>
      <w:r w:rsidR="000A19EE" w:rsidRPr="007C5340">
        <w:rPr>
          <w:rFonts w:ascii="Times New Roman" w:hAnsi="Times New Roman" w:cs="Times New Roman"/>
        </w:rPr>
        <w:t>e notar que reportan muy bajas cifras</w:t>
      </w:r>
      <w:r w:rsidR="00322D61" w:rsidRPr="007C5340">
        <w:rPr>
          <w:rFonts w:ascii="Times New Roman" w:hAnsi="Times New Roman" w:cs="Times New Roman"/>
        </w:rPr>
        <w:t xml:space="preserve"> en el rango etario de 30-</w:t>
      </w:r>
      <w:r w:rsidRPr="007C5340">
        <w:rPr>
          <w:rFonts w:ascii="Times New Roman" w:hAnsi="Times New Roman" w:cs="Times New Roman"/>
        </w:rPr>
        <w:t>34 (22,7 %), lo que pudiera deberse a un fallo en el programa de atención.</w:t>
      </w:r>
    </w:p>
    <w:p w:rsidR="00BB2699" w:rsidRPr="007C5340" w:rsidRDefault="00CF1467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5340">
        <w:rPr>
          <w:rFonts w:ascii="Times New Roman" w:hAnsi="Times New Roman"/>
          <w:sz w:val="24"/>
          <w:szCs w:val="24"/>
        </w:rPr>
        <w:t>En el ámbito inte</w:t>
      </w:r>
      <w:r w:rsidR="00BB0084" w:rsidRPr="007C5340">
        <w:rPr>
          <w:rFonts w:ascii="Times New Roman" w:hAnsi="Times New Roman"/>
          <w:sz w:val="24"/>
          <w:szCs w:val="24"/>
        </w:rPr>
        <w:t>rna</w:t>
      </w:r>
      <w:r w:rsidR="003659BB" w:rsidRPr="007C5340">
        <w:rPr>
          <w:rFonts w:ascii="Times New Roman" w:hAnsi="Times New Roman"/>
          <w:sz w:val="24"/>
          <w:szCs w:val="24"/>
        </w:rPr>
        <w:t xml:space="preserve">cional, Villanueva </w:t>
      </w:r>
      <w:proofErr w:type="spellStart"/>
      <w:r w:rsidR="00BB0084" w:rsidRPr="007C5340">
        <w:rPr>
          <w:rFonts w:ascii="Times New Roman" w:hAnsi="Times New Roman"/>
          <w:sz w:val="24"/>
          <w:szCs w:val="24"/>
        </w:rPr>
        <w:t>Ccoyllo</w:t>
      </w:r>
      <w:proofErr w:type="spellEnd"/>
      <w:r w:rsidR="003659BB" w:rsidRPr="007C5340">
        <w:rPr>
          <w:rFonts w:ascii="Times New Roman" w:hAnsi="Times New Roman"/>
          <w:sz w:val="24"/>
          <w:szCs w:val="24"/>
        </w:rPr>
        <w:t xml:space="preserve"> y </w:t>
      </w:r>
      <w:proofErr w:type="gramStart"/>
      <w:r w:rsidR="003659BB" w:rsidRPr="007C5340">
        <w:rPr>
          <w:rFonts w:ascii="Times New Roman" w:hAnsi="Times New Roman"/>
          <w:sz w:val="24"/>
          <w:szCs w:val="24"/>
        </w:rPr>
        <w:t>otros,</w:t>
      </w:r>
      <w:r w:rsidR="00BB0084" w:rsidRPr="007C5340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94346C" w:rsidRPr="007C5340">
        <w:rPr>
          <w:rFonts w:ascii="Times New Roman" w:hAnsi="Times New Roman"/>
          <w:noProof/>
          <w:sz w:val="24"/>
          <w:szCs w:val="24"/>
          <w:vertAlign w:val="superscript"/>
        </w:rPr>
        <w:t>3</w:t>
      </w:r>
      <w:r w:rsidR="00BB0084" w:rsidRPr="007C5340">
        <w:rPr>
          <w:rFonts w:ascii="Times New Roman" w:hAnsi="Times New Roman"/>
          <w:noProof/>
          <w:sz w:val="24"/>
          <w:szCs w:val="24"/>
          <w:vertAlign w:val="superscript"/>
        </w:rPr>
        <w:t>)</w:t>
      </w:r>
      <w:r w:rsidR="00686D94" w:rsidRPr="007C5340">
        <w:rPr>
          <w:rFonts w:ascii="Times New Roman" w:hAnsi="Times New Roman"/>
          <w:sz w:val="24"/>
          <w:szCs w:val="24"/>
        </w:rPr>
        <w:t xml:space="preserve"> refieren un</w:t>
      </w:r>
      <w:r w:rsidRPr="007C5340">
        <w:rPr>
          <w:rFonts w:ascii="Times New Roman" w:hAnsi="Times New Roman"/>
          <w:sz w:val="24"/>
          <w:szCs w:val="24"/>
        </w:rPr>
        <w:t xml:space="preserve"> mayor número de mujeres entre los 30 y 39 años, resultados con los cuales coinciden los hallados en este trabajo.</w:t>
      </w:r>
    </w:p>
    <w:p w:rsidR="006E0F8B" w:rsidRPr="007C5340" w:rsidRDefault="009C43B7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  <w:lang w:val="es-ES_tradnl"/>
        </w:rPr>
        <w:t>L</w:t>
      </w:r>
      <w:r w:rsidR="00631762" w:rsidRPr="007C5340">
        <w:rPr>
          <w:rFonts w:ascii="Times New Roman" w:hAnsi="Times New Roman" w:cs="Times New Roman"/>
        </w:rPr>
        <w:t xml:space="preserve">a mayor parte de las mujeres infértiles </w:t>
      </w:r>
      <w:r w:rsidR="00656541" w:rsidRPr="007C5340">
        <w:rPr>
          <w:rFonts w:ascii="Times New Roman" w:hAnsi="Times New Roman" w:cs="Times New Roman"/>
        </w:rPr>
        <w:t xml:space="preserve">estudias </w:t>
      </w:r>
      <w:r w:rsidR="00631762" w:rsidRPr="007C5340">
        <w:rPr>
          <w:rFonts w:ascii="Times New Roman" w:hAnsi="Times New Roman" w:cs="Times New Roman"/>
        </w:rPr>
        <w:t>eran provenientes del municipio Cama</w:t>
      </w:r>
      <w:r w:rsidR="00656541" w:rsidRPr="007C5340">
        <w:rPr>
          <w:rFonts w:ascii="Times New Roman" w:hAnsi="Times New Roman" w:cs="Times New Roman"/>
        </w:rPr>
        <w:t>güey, lo que, en opinión de los autores</w:t>
      </w:r>
      <w:r w:rsidR="00631762" w:rsidRPr="007C5340">
        <w:rPr>
          <w:rFonts w:ascii="Times New Roman" w:hAnsi="Times New Roman" w:cs="Times New Roman"/>
        </w:rPr>
        <w:t xml:space="preserve"> no se debe a mayor tasa de infertilidad en el municipio, sino a la baja demanda del servicio en mujeres de otras localidades. Resulta relevante que los municipios que le siguieron en orden de frecuencia a la capital provincial, fueran los localizados </w:t>
      </w:r>
      <w:r w:rsidR="00F116D3" w:rsidRPr="007C5340">
        <w:rPr>
          <w:rFonts w:ascii="Times New Roman" w:hAnsi="Times New Roman" w:cs="Times New Roman"/>
        </w:rPr>
        <w:t>en la carretera central (existe mayor accesibilidad)</w:t>
      </w:r>
      <w:r w:rsidR="00631762" w:rsidRPr="007C5340">
        <w:rPr>
          <w:rFonts w:ascii="Times New Roman" w:hAnsi="Times New Roman" w:cs="Times New Roman"/>
        </w:rPr>
        <w:t xml:space="preserve">. La disminución en la capacidad de transportación debido entre otras cosas a la pandemia de COVID-19, ha imposibilitado que muchas </w:t>
      </w:r>
      <w:r w:rsidR="00F116D3" w:rsidRPr="007C5340">
        <w:rPr>
          <w:rFonts w:ascii="Times New Roman" w:hAnsi="Times New Roman" w:cs="Times New Roman"/>
        </w:rPr>
        <w:t>pacientes de otras localidades puedan asistir a consulta</w:t>
      </w:r>
      <w:r w:rsidR="00631762" w:rsidRPr="007C5340">
        <w:rPr>
          <w:rFonts w:ascii="Times New Roman" w:hAnsi="Times New Roman" w:cs="Times New Roman"/>
        </w:rPr>
        <w:t xml:space="preserve">. Hasta la fecha no hay investigaciones que aborden la distribución geográfica de la infertilidad en la provincia. </w:t>
      </w:r>
    </w:p>
    <w:p w:rsidR="007813B7" w:rsidRPr="007C5340" w:rsidRDefault="003659BB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 xml:space="preserve">Gámez Sánchez y </w:t>
      </w:r>
      <w:proofErr w:type="gramStart"/>
      <w:r w:rsidRPr="007C5340">
        <w:rPr>
          <w:rFonts w:ascii="Times New Roman" w:hAnsi="Times New Roman" w:cs="Times New Roman"/>
        </w:rPr>
        <w:t>otros,</w:t>
      </w:r>
      <w:r w:rsidR="000B76E9">
        <w:rPr>
          <w:rFonts w:ascii="Times New Roman" w:hAnsi="Times New Roman" w:cs="Times New Roman"/>
          <w:vertAlign w:val="superscript"/>
        </w:rPr>
        <w:t>(</w:t>
      </w:r>
      <w:proofErr w:type="gramEnd"/>
      <w:r w:rsidR="000B76E9">
        <w:rPr>
          <w:rFonts w:ascii="Times New Roman" w:hAnsi="Times New Roman" w:cs="Times New Roman"/>
          <w:vertAlign w:val="superscript"/>
        </w:rPr>
        <w:t>9</w:t>
      </w:r>
      <w:r w:rsidR="00036EF2" w:rsidRPr="007C5340">
        <w:rPr>
          <w:rFonts w:ascii="Times New Roman" w:hAnsi="Times New Roman" w:cs="Times New Roman"/>
          <w:vertAlign w:val="superscript"/>
        </w:rPr>
        <w:t>)</w:t>
      </w:r>
      <w:r w:rsidR="007813B7" w:rsidRPr="007C5340">
        <w:rPr>
          <w:rFonts w:ascii="Times New Roman" w:hAnsi="Times New Roman" w:cs="Times New Roman"/>
        </w:rPr>
        <w:t xml:space="preserve"> en Santiago de Cuba</w:t>
      </w:r>
      <w:r w:rsidR="00342F94" w:rsidRPr="007C5340">
        <w:rPr>
          <w:rFonts w:ascii="Times New Roman" w:hAnsi="Times New Roman" w:cs="Times New Roman"/>
        </w:rPr>
        <w:t xml:space="preserve"> </w:t>
      </w:r>
      <w:r w:rsidR="007813B7" w:rsidRPr="007C5340">
        <w:rPr>
          <w:rFonts w:ascii="Times New Roman" w:hAnsi="Times New Roman" w:cs="Times New Roman"/>
        </w:rPr>
        <w:t xml:space="preserve">encontró </w:t>
      </w:r>
      <w:r w:rsidR="00D85CF3" w:rsidRPr="007C5340">
        <w:rPr>
          <w:rFonts w:ascii="Times New Roman" w:hAnsi="Times New Roman" w:cs="Times New Roman"/>
        </w:rPr>
        <w:t>un 29,4</w:t>
      </w:r>
      <w:r w:rsidR="007813B7" w:rsidRPr="007C5340">
        <w:rPr>
          <w:rFonts w:ascii="Times New Roman" w:hAnsi="Times New Roman" w:cs="Times New Roman"/>
        </w:rPr>
        <w:t xml:space="preserve"> % de mujeres infértiles con nivel universitario, seguidas por el técnico medio (18,5 %), </w:t>
      </w:r>
      <w:r w:rsidR="00036EF2" w:rsidRPr="007C5340">
        <w:rPr>
          <w:rFonts w:ascii="Times New Roman" w:hAnsi="Times New Roman" w:cs="Times New Roman"/>
        </w:rPr>
        <w:t xml:space="preserve">mientras en </w:t>
      </w:r>
      <w:r w:rsidR="007813B7" w:rsidRPr="007C5340">
        <w:rPr>
          <w:rFonts w:ascii="Times New Roman" w:hAnsi="Times New Roman" w:cs="Times New Roman"/>
        </w:rPr>
        <w:t xml:space="preserve">esta investigación </w:t>
      </w:r>
      <w:r w:rsidR="00036EF2" w:rsidRPr="007C5340">
        <w:rPr>
          <w:rFonts w:ascii="Times New Roman" w:hAnsi="Times New Roman" w:cs="Times New Roman"/>
        </w:rPr>
        <w:t>los autores obtuvieron una cifra mayor, de uni</w:t>
      </w:r>
      <w:r w:rsidR="00D85CF3" w:rsidRPr="007C5340">
        <w:rPr>
          <w:rFonts w:ascii="Times New Roman" w:hAnsi="Times New Roman" w:cs="Times New Roman"/>
        </w:rPr>
        <w:t>versitarias (45,4 %),  no coincidiendo</w:t>
      </w:r>
      <w:r w:rsidR="00036EF2" w:rsidRPr="007C5340">
        <w:rPr>
          <w:rFonts w:ascii="Times New Roman" w:hAnsi="Times New Roman" w:cs="Times New Roman"/>
        </w:rPr>
        <w:t xml:space="preserve"> con los autores antes referidos.</w:t>
      </w:r>
    </w:p>
    <w:p w:rsidR="00F86B91" w:rsidRPr="007C5340" w:rsidRDefault="00142533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7C5340">
        <w:rPr>
          <w:rFonts w:ascii="Times New Roman" w:hAnsi="Times New Roman"/>
          <w:sz w:val="24"/>
          <w:szCs w:val="24"/>
        </w:rPr>
        <w:t>Los resultados obtenidos durante esta investigación, guardan relación con los plasmados en el informe de investigación de profesionales chilenos, donde en</w:t>
      </w:r>
      <w:r w:rsidR="00F86B91" w:rsidRPr="007C5340">
        <w:rPr>
          <w:rFonts w:ascii="Times New Roman" w:hAnsi="Times New Roman"/>
          <w:sz w:val="24"/>
          <w:szCs w:val="24"/>
        </w:rPr>
        <w:t xml:space="preserve"> el total de mujeres infértiles chequeadas el nivel educacional fue relativamente </w:t>
      </w:r>
      <w:proofErr w:type="gramStart"/>
      <w:r w:rsidR="00F86B91" w:rsidRPr="007C5340">
        <w:rPr>
          <w:rFonts w:ascii="Times New Roman" w:hAnsi="Times New Roman"/>
          <w:sz w:val="24"/>
          <w:szCs w:val="24"/>
        </w:rPr>
        <w:t>alto</w:t>
      </w:r>
      <w:r w:rsidRPr="007C5340">
        <w:rPr>
          <w:rFonts w:ascii="Times New Roman" w:hAnsi="Times New Roman"/>
          <w:sz w:val="24"/>
          <w:szCs w:val="24"/>
        </w:rPr>
        <w:t>.</w:t>
      </w:r>
      <w:r w:rsidR="0094346C" w:rsidRPr="007C5340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94346C" w:rsidRPr="007C5340">
        <w:rPr>
          <w:rFonts w:ascii="Times New Roman" w:hAnsi="Times New Roman"/>
          <w:sz w:val="24"/>
          <w:szCs w:val="24"/>
          <w:vertAlign w:val="superscript"/>
        </w:rPr>
        <w:t>11</w:t>
      </w:r>
      <w:r w:rsidR="00A540E3" w:rsidRPr="007C534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244DA" w:rsidRPr="007C5340" w:rsidRDefault="00936824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340">
        <w:rPr>
          <w:rFonts w:ascii="Times New Roman" w:hAnsi="Times New Roman"/>
          <w:sz w:val="24"/>
          <w:szCs w:val="24"/>
        </w:rPr>
        <w:t xml:space="preserve">Varios autores identifican el consumo de café y tabaco como hábitos tóxicos frecuentes en las mujeres con problemas de infertilidad, resultados con los que </w:t>
      </w:r>
      <w:proofErr w:type="gramStart"/>
      <w:r w:rsidRPr="007C5340">
        <w:rPr>
          <w:rFonts w:ascii="Times New Roman" w:hAnsi="Times New Roman"/>
          <w:sz w:val="24"/>
          <w:szCs w:val="24"/>
        </w:rPr>
        <w:t>coincidimos.</w:t>
      </w:r>
      <w:r w:rsidRPr="007C5340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94346C" w:rsidRPr="007C5340">
        <w:rPr>
          <w:rFonts w:ascii="Times New Roman" w:hAnsi="Times New Roman"/>
          <w:sz w:val="24"/>
          <w:szCs w:val="24"/>
          <w:vertAlign w:val="superscript"/>
        </w:rPr>
        <w:t>11,12</w:t>
      </w:r>
      <w:r w:rsidRPr="007C534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22BC7" w:rsidRPr="007C5340" w:rsidRDefault="003659BB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5340">
        <w:rPr>
          <w:rFonts w:ascii="Times New Roman" w:hAnsi="Times New Roman"/>
          <w:sz w:val="24"/>
          <w:szCs w:val="24"/>
        </w:rPr>
        <w:t xml:space="preserve">Rodrigo Andrea y </w:t>
      </w:r>
      <w:proofErr w:type="gramStart"/>
      <w:r w:rsidRPr="007C5340">
        <w:rPr>
          <w:rFonts w:ascii="Times New Roman" w:hAnsi="Times New Roman"/>
          <w:sz w:val="24"/>
          <w:szCs w:val="24"/>
        </w:rPr>
        <w:t>otros,</w:t>
      </w:r>
      <w:r w:rsidR="0094346C" w:rsidRPr="007C5340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94346C" w:rsidRPr="007C5340">
        <w:rPr>
          <w:rFonts w:ascii="Times New Roman" w:hAnsi="Times New Roman"/>
          <w:sz w:val="24"/>
          <w:szCs w:val="24"/>
          <w:vertAlign w:val="superscript"/>
        </w:rPr>
        <w:t>13</w:t>
      </w:r>
      <w:r w:rsidR="00360F18" w:rsidRPr="007C5340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="00360F18" w:rsidRPr="007C5340">
        <w:rPr>
          <w:rFonts w:ascii="Times New Roman" w:hAnsi="Times New Roman"/>
          <w:sz w:val="24"/>
          <w:szCs w:val="24"/>
        </w:rPr>
        <w:t>atendiendo a la influencia del estilo de vida en la fertilidad, hacen referencia a la mala alimentación como causa de obesidad, al consumo de tabaco y al consumo de alcohol como los 3 factores de riesgo más importantes a tener en cuenta.</w:t>
      </w:r>
    </w:p>
    <w:p w:rsidR="005C09C5" w:rsidRPr="007C5340" w:rsidRDefault="00EC336C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  <w:lang w:val="es-ES_tradnl"/>
        </w:rPr>
        <w:lastRenderedPageBreak/>
        <w:t>M</w:t>
      </w:r>
      <w:proofErr w:type="spellStart"/>
      <w:r w:rsidRPr="007C5340">
        <w:rPr>
          <w:rFonts w:ascii="Times New Roman" w:hAnsi="Times New Roman" w:cs="Times New Roman"/>
        </w:rPr>
        <w:t>undialmente</w:t>
      </w:r>
      <w:proofErr w:type="spellEnd"/>
      <w:r w:rsidRPr="007C5340">
        <w:rPr>
          <w:rFonts w:ascii="Times New Roman" w:hAnsi="Times New Roman" w:cs="Times New Roman"/>
        </w:rPr>
        <w:t xml:space="preserve"> la infecundidad se </w:t>
      </w:r>
      <w:r w:rsidR="0084790A" w:rsidRPr="007C5340">
        <w:rPr>
          <w:rFonts w:ascii="Times New Roman" w:hAnsi="Times New Roman" w:cs="Times New Roman"/>
        </w:rPr>
        <w:t>les</w:t>
      </w:r>
      <w:r w:rsidRPr="007C5340">
        <w:rPr>
          <w:rFonts w:ascii="Times New Roman" w:hAnsi="Times New Roman" w:cs="Times New Roman"/>
        </w:rPr>
        <w:t xml:space="preserve"> atribuye a las enfermedades de transmisión sexual (ETS) padecidas con anterioridad o que no son curadas adecuadamente</w:t>
      </w:r>
      <w:r w:rsidR="0084790A" w:rsidRPr="007C5340">
        <w:rPr>
          <w:rFonts w:ascii="Times New Roman" w:hAnsi="Times New Roman" w:cs="Times New Roman"/>
        </w:rPr>
        <w:t>.</w:t>
      </w:r>
      <w:r w:rsidR="00087BA2" w:rsidRPr="007C5340">
        <w:rPr>
          <w:rFonts w:ascii="Times New Roman" w:hAnsi="Times New Roman" w:cs="Times New Roman"/>
        </w:rPr>
        <w:t xml:space="preserve"> </w:t>
      </w:r>
      <w:r w:rsidR="00087BA2" w:rsidRPr="007C5340">
        <w:rPr>
          <w:rFonts w:ascii="Times New Roman" w:hAnsi="Times New Roman" w:cs="Times New Roman"/>
          <w:lang w:val="es-ES_tradnl"/>
        </w:rPr>
        <w:t>Ramírez</w:t>
      </w:r>
      <w:r w:rsidR="003659BB" w:rsidRPr="007C5340">
        <w:rPr>
          <w:rFonts w:ascii="Times New Roman" w:hAnsi="Times New Roman" w:cs="Times New Roman"/>
          <w:lang w:val="es-ES_tradnl"/>
        </w:rPr>
        <w:t xml:space="preserve"> Morá</w:t>
      </w:r>
      <w:r w:rsidR="00622157" w:rsidRPr="007C5340">
        <w:rPr>
          <w:rFonts w:ascii="Times New Roman" w:hAnsi="Times New Roman" w:cs="Times New Roman"/>
          <w:lang w:val="es-ES_tradnl"/>
        </w:rPr>
        <w:t>n</w:t>
      </w:r>
      <w:r w:rsidR="003659BB" w:rsidRPr="007C5340">
        <w:rPr>
          <w:rFonts w:ascii="Times New Roman" w:hAnsi="Times New Roman" w:cs="Times New Roman"/>
        </w:rPr>
        <w:t xml:space="preserve"> y </w:t>
      </w:r>
      <w:proofErr w:type="gramStart"/>
      <w:r w:rsidR="003659BB" w:rsidRPr="007C5340">
        <w:rPr>
          <w:rFonts w:ascii="Times New Roman" w:hAnsi="Times New Roman" w:cs="Times New Roman"/>
        </w:rPr>
        <w:t>otros,</w:t>
      </w:r>
      <w:r w:rsidR="00622157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</w:rPr>
        <w:t>8</w:t>
      </w:r>
      <w:r w:rsidR="00622157" w:rsidRPr="007C5340">
        <w:rPr>
          <w:rFonts w:ascii="Times New Roman" w:hAnsi="Times New Roman" w:cs="Times New Roman"/>
          <w:noProof/>
          <w:vertAlign w:val="superscript"/>
        </w:rPr>
        <w:t>)</w:t>
      </w:r>
      <w:r w:rsidR="00E677A5" w:rsidRPr="007C5340">
        <w:rPr>
          <w:rFonts w:ascii="Times New Roman" w:hAnsi="Times New Roman" w:cs="Times New Roman"/>
        </w:rPr>
        <w:t xml:space="preserve"> señalan que, e</w:t>
      </w:r>
      <w:r w:rsidR="005C09C5" w:rsidRPr="007C5340">
        <w:rPr>
          <w:rFonts w:ascii="Times New Roman" w:hAnsi="Times New Roman" w:cs="Times New Roman"/>
        </w:rPr>
        <w:t>n su casuística se obse</w:t>
      </w:r>
      <w:r w:rsidR="00E677A5" w:rsidRPr="007C5340">
        <w:rPr>
          <w:rFonts w:ascii="Times New Roman" w:hAnsi="Times New Roman" w:cs="Times New Roman"/>
        </w:rPr>
        <w:t>rvó un número significativo de E</w:t>
      </w:r>
      <w:r w:rsidR="005C09C5" w:rsidRPr="007C5340">
        <w:rPr>
          <w:rFonts w:ascii="Times New Roman" w:hAnsi="Times New Roman" w:cs="Times New Roman"/>
        </w:rPr>
        <w:t>TS, entre las que resultó má</w:t>
      </w:r>
      <w:r w:rsidR="00E677A5" w:rsidRPr="007C5340">
        <w:rPr>
          <w:rFonts w:ascii="Times New Roman" w:hAnsi="Times New Roman" w:cs="Times New Roman"/>
        </w:rPr>
        <w:t xml:space="preserve">s frecuente la </w:t>
      </w:r>
      <w:proofErr w:type="spellStart"/>
      <w:r w:rsidR="00E677A5" w:rsidRPr="007C5340">
        <w:rPr>
          <w:rFonts w:ascii="Times New Roman" w:hAnsi="Times New Roman" w:cs="Times New Roman"/>
        </w:rPr>
        <w:t>clamidiasis</w:t>
      </w:r>
      <w:proofErr w:type="spellEnd"/>
      <w:r w:rsidR="00E677A5" w:rsidRPr="007C5340">
        <w:rPr>
          <w:rFonts w:ascii="Times New Roman" w:hAnsi="Times New Roman" w:cs="Times New Roman"/>
        </w:rPr>
        <w:t xml:space="preserve">; quien </w:t>
      </w:r>
      <w:r w:rsidR="005C09C5" w:rsidRPr="007C5340">
        <w:rPr>
          <w:rFonts w:ascii="Times New Roman" w:hAnsi="Times New Roman" w:cs="Times New Roman"/>
        </w:rPr>
        <w:t xml:space="preserve"> continúa siendo un factor importante de infertilidad en las féminas.</w:t>
      </w:r>
    </w:p>
    <w:p w:rsidR="005C09C5" w:rsidRPr="007C5340" w:rsidRDefault="005C09C5" w:rsidP="00657D3A">
      <w:pPr>
        <w:pStyle w:val="00-CUERPO"/>
        <w:spacing w:line="360" w:lineRule="auto"/>
        <w:rPr>
          <w:rFonts w:ascii="Times New Roman" w:hAnsi="Times New Roman" w:cs="Times New Roman"/>
        </w:rPr>
      </w:pPr>
      <w:r w:rsidRPr="007C5340">
        <w:rPr>
          <w:rFonts w:ascii="Times New Roman" w:hAnsi="Times New Roman" w:cs="Times New Roman"/>
        </w:rPr>
        <w:t>Los resultados o</w:t>
      </w:r>
      <w:r w:rsidR="00E651D9" w:rsidRPr="007C5340">
        <w:rPr>
          <w:rFonts w:ascii="Times New Roman" w:hAnsi="Times New Roman" w:cs="Times New Roman"/>
        </w:rPr>
        <w:t>btenidos también coinciden con D</w:t>
      </w:r>
      <w:r w:rsidR="00723A87" w:rsidRPr="007C5340">
        <w:rPr>
          <w:rFonts w:ascii="Times New Roman" w:hAnsi="Times New Roman" w:cs="Times New Roman"/>
        </w:rPr>
        <w:t xml:space="preserve">en </w:t>
      </w:r>
      <w:proofErr w:type="spellStart"/>
      <w:r w:rsidR="00723A87" w:rsidRPr="007C5340">
        <w:rPr>
          <w:rFonts w:ascii="Times New Roman" w:hAnsi="Times New Roman" w:cs="Times New Roman"/>
        </w:rPr>
        <w:t>Heijer</w:t>
      </w:r>
      <w:proofErr w:type="spellEnd"/>
      <w:r w:rsidR="003659BB" w:rsidRPr="007C5340">
        <w:rPr>
          <w:rFonts w:ascii="Times New Roman" w:hAnsi="Times New Roman" w:cs="Times New Roman"/>
        </w:rPr>
        <w:t xml:space="preserve"> y </w:t>
      </w:r>
      <w:proofErr w:type="gramStart"/>
      <w:r w:rsidR="003659BB" w:rsidRPr="007C5340">
        <w:rPr>
          <w:rFonts w:ascii="Times New Roman" w:hAnsi="Times New Roman" w:cs="Times New Roman"/>
        </w:rPr>
        <w:t>otros,</w:t>
      </w:r>
      <w:r w:rsidR="00E651D9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noProof/>
          <w:vertAlign w:val="superscript"/>
        </w:rPr>
        <w:t>14</w:t>
      </w:r>
      <w:r w:rsidR="00E651D9" w:rsidRPr="007C5340">
        <w:rPr>
          <w:rFonts w:ascii="Times New Roman" w:hAnsi="Times New Roman" w:cs="Times New Roman"/>
          <w:noProof/>
          <w:vertAlign w:val="superscript"/>
        </w:rPr>
        <w:t>)</w:t>
      </w:r>
      <w:r w:rsidRPr="007C5340">
        <w:rPr>
          <w:rFonts w:ascii="Times New Roman" w:hAnsi="Times New Roman" w:cs="Times New Roman"/>
        </w:rPr>
        <w:t xml:space="preserve"> cuando plantean una</w:t>
      </w:r>
      <w:r w:rsidR="00723A87" w:rsidRPr="007C5340">
        <w:rPr>
          <w:rFonts w:ascii="Times New Roman" w:hAnsi="Times New Roman" w:cs="Times New Roman"/>
        </w:rPr>
        <w:t xml:space="preserve"> relación importante entre las E</w:t>
      </w:r>
      <w:r w:rsidRPr="007C5340">
        <w:rPr>
          <w:rFonts w:ascii="Times New Roman" w:hAnsi="Times New Roman" w:cs="Times New Roman"/>
        </w:rPr>
        <w:t>TS, embarazos ectópicos e infertilidad.</w:t>
      </w:r>
    </w:p>
    <w:p w:rsidR="005C09C5" w:rsidRPr="007C5340" w:rsidRDefault="000E41B2" w:rsidP="00657D3A">
      <w:pPr>
        <w:pStyle w:val="00-CUERPO"/>
        <w:spacing w:line="360" w:lineRule="auto"/>
        <w:rPr>
          <w:rFonts w:ascii="Times New Roman" w:hAnsi="Times New Roman" w:cs="Times New Roman"/>
          <w:vertAlign w:val="superscript"/>
        </w:rPr>
      </w:pPr>
      <w:r w:rsidRPr="007C5340">
        <w:rPr>
          <w:rFonts w:ascii="Times New Roman" w:hAnsi="Times New Roman" w:cs="Times New Roman"/>
        </w:rPr>
        <w:t xml:space="preserve">Los resultados de este trabajo no coinciden con los de autores peruanos, que encontraron dentro de </w:t>
      </w:r>
      <w:r w:rsidR="005C09C5" w:rsidRPr="007C5340">
        <w:rPr>
          <w:rFonts w:ascii="Times New Roman" w:hAnsi="Times New Roman" w:cs="Times New Roman"/>
        </w:rPr>
        <w:t>los facto</w:t>
      </w:r>
      <w:r w:rsidRPr="007C5340">
        <w:rPr>
          <w:rFonts w:ascii="Times New Roman" w:hAnsi="Times New Roman" w:cs="Times New Roman"/>
        </w:rPr>
        <w:t xml:space="preserve">res asociados a la infertilidad, la </w:t>
      </w:r>
      <w:proofErr w:type="spellStart"/>
      <w:r w:rsidRPr="007C5340">
        <w:rPr>
          <w:rFonts w:ascii="Times New Roman" w:hAnsi="Times New Roman" w:cs="Times New Roman"/>
        </w:rPr>
        <w:t>dispareunia</w:t>
      </w:r>
      <w:proofErr w:type="spellEnd"/>
      <w:r w:rsidRPr="007C5340">
        <w:rPr>
          <w:rFonts w:ascii="Times New Roman" w:hAnsi="Times New Roman" w:cs="Times New Roman"/>
        </w:rPr>
        <w:t>, dismenorrea y</w:t>
      </w:r>
      <w:r w:rsidR="005C09C5" w:rsidRPr="007C5340">
        <w:rPr>
          <w:rFonts w:ascii="Times New Roman" w:hAnsi="Times New Roman" w:cs="Times New Roman"/>
        </w:rPr>
        <w:t xml:space="preserve"> el antecedente de enfermedad pélvica </w:t>
      </w:r>
      <w:proofErr w:type="gramStart"/>
      <w:r w:rsidR="005C09C5" w:rsidRPr="007C5340">
        <w:rPr>
          <w:rFonts w:ascii="Times New Roman" w:hAnsi="Times New Roman" w:cs="Times New Roman"/>
        </w:rPr>
        <w:t>inflamatoria.</w:t>
      </w:r>
      <w:r w:rsidR="0094346C" w:rsidRPr="007C5340">
        <w:rPr>
          <w:rFonts w:ascii="Times New Roman" w:hAnsi="Times New Roman" w:cs="Times New Roman"/>
          <w:vertAlign w:val="superscript"/>
        </w:rPr>
        <w:t>(</w:t>
      </w:r>
      <w:proofErr w:type="gramEnd"/>
      <w:r w:rsidR="0094346C" w:rsidRPr="007C5340">
        <w:rPr>
          <w:rFonts w:ascii="Times New Roman" w:hAnsi="Times New Roman" w:cs="Times New Roman"/>
          <w:vertAlign w:val="superscript"/>
        </w:rPr>
        <w:t>3</w:t>
      </w:r>
      <w:r w:rsidR="006548F6" w:rsidRPr="007C5340">
        <w:rPr>
          <w:rFonts w:ascii="Times New Roman" w:hAnsi="Times New Roman" w:cs="Times New Roman"/>
          <w:vertAlign w:val="superscript"/>
        </w:rPr>
        <w:t>)</w:t>
      </w:r>
    </w:p>
    <w:p w:rsidR="006122A0" w:rsidRPr="007C5340" w:rsidRDefault="006122A0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5340">
        <w:rPr>
          <w:rFonts w:ascii="Times New Roman" w:hAnsi="Times New Roman"/>
          <w:sz w:val="24"/>
          <w:szCs w:val="24"/>
        </w:rPr>
        <w:t xml:space="preserve">Los resultados de la presente investigación no coinciden con autores camagüeyanos que estudiaron a un grupo de pacientes infértiles en distinto periodo, atendiendo al índice de masa corporal, donde obtuvieron mayor por ciento de mujeres con algún grado de obesidad (23,7 </w:t>
      </w:r>
      <w:proofErr w:type="gramStart"/>
      <w:r w:rsidRPr="007C5340">
        <w:rPr>
          <w:rFonts w:ascii="Times New Roman" w:hAnsi="Times New Roman"/>
          <w:sz w:val="24"/>
          <w:szCs w:val="24"/>
        </w:rPr>
        <w:t>%).</w:t>
      </w:r>
      <w:r w:rsidR="0094346C" w:rsidRPr="007C5340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94346C" w:rsidRPr="007C5340">
        <w:rPr>
          <w:rFonts w:ascii="Times New Roman" w:hAnsi="Times New Roman"/>
          <w:sz w:val="24"/>
          <w:szCs w:val="24"/>
          <w:vertAlign w:val="superscript"/>
        </w:rPr>
        <w:t>9</w:t>
      </w:r>
      <w:r w:rsidRPr="007C534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122A0" w:rsidRPr="007C5340" w:rsidRDefault="006122A0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C5340">
        <w:rPr>
          <w:rFonts w:ascii="Times New Roman" w:hAnsi="Times New Roman"/>
          <w:sz w:val="24"/>
          <w:szCs w:val="24"/>
        </w:rPr>
        <w:t xml:space="preserve">Investigadores de Guantánamo hacen referencia a que el 7,8 % de las pacientes estudiadas resultaron obesas, mientras en el este estudio se obtuvo un 13,5 </w:t>
      </w:r>
      <w:proofErr w:type="gramStart"/>
      <w:r w:rsidRPr="007C5340">
        <w:rPr>
          <w:rFonts w:ascii="Times New Roman" w:hAnsi="Times New Roman"/>
          <w:sz w:val="24"/>
          <w:szCs w:val="24"/>
        </w:rPr>
        <w:t>%.</w:t>
      </w:r>
      <w:r w:rsidR="0094346C" w:rsidRPr="007C5340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94346C" w:rsidRPr="007C5340">
        <w:rPr>
          <w:rFonts w:ascii="Times New Roman" w:hAnsi="Times New Roman"/>
          <w:sz w:val="24"/>
          <w:szCs w:val="24"/>
          <w:vertAlign w:val="superscript"/>
        </w:rPr>
        <w:t>8</w:t>
      </w:r>
      <w:r w:rsidRPr="007C534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5C23" w:rsidRPr="007C5340" w:rsidRDefault="000E5C23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BO"/>
        </w:rPr>
      </w:pPr>
      <w:r w:rsidRPr="007C5340">
        <w:rPr>
          <w:rFonts w:ascii="Times New Roman" w:hAnsi="Times New Roman"/>
          <w:sz w:val="24"/>
          <w:szCs w:val="24"/>
          <w:lang w:val="es-BO"/>
        </w:rPr>
        <w:t>En la investigación real</w:t>
      </w:r>
      <w:r w:rsidR="003659BB" w:rsidRPr="007C5340">
        <w:rPr>
          <w:rFonts w:ascii="Times New Roman" w:hAnsi="Times New Roman"/>
          <w:sz w:val="24"/>
          <w:szCs w:val="24"/>
          <w:lang w:val="es-BO"/>
        </w:rPr>
        <w:t xml:space="preserve">izada por Gámez Sánchez y </w:t>
      </w:r>
      <w:proofErr w:type="gramStart"/>
      <w:r w:rsidR="003659BB" w:rsidRPr="007C5340">
        <w:rPr>
          <w:rFonts w:ascii="Times New Roman" w:hAnsi="Times New Roman"/>
          <w:sz w:val="24"/>
          <w:szCs w:val="24"/>
          <w:lang w:val="es-BO"/>
        </w:rPr>
        <w:t>otros</w:t>
      </w:r>
      <w:r w:rsidRPr="007C5340">
        <w:rPr>
          <w:rFonts w:ascii="Times New Roman" w:hAnsi="Times New Roman"/>
          <w:sz w:val="24"/>
          <w:szCs w:val="24"/>
          <w:lang w:val="es-BO"/>
        </w:rPr>
        <w:t>,</w:t>
      </w:r>
      <w:r w:rsidRPr="007C5340">
        <w:rPr>
          <w:rFonts w:ascii="Times New Roman" w:hAnsi="Times New Roman"/>
          <w:sz w:val="24"/>
          <w:szCs w:val="24"/>
          <w:vertAlign w:val="superscript"/>
          <w:lang w:val="es-BO"/>
        </w:rPr>
        <w:t>(</w:t>
      </w:r>
      <w:proofErr w:type="gramEnd"/>
      <w:r w:rsidR="0094346C" w:rsidRPr="007C5340">
        <w:rPr>
          <w:rFonts w:ascii="Times New Roman" w:hAnsi="Times New Roman"/>
          <w:sz w:val="24"/>
          <w:szCs w:val="24"/>
          <w:vertAlign w:val="superscript"/>
          <w:lang w:val="es-BO"/>
        </w:rPr>
        <w:t>10</w:t>
      </w:r>
      <w:r w:rsidR="001E0E3F" w:rsidRPr="007C5340">
        <w:rPr>
          <w:rFonts w:ascii="Times New Roman" w:hAnsi="Times New Roman"/>
          <w:sz w:val="24"/>
          <w:szCs w:val="24"/>
          <w:vertAlign w:val="superscript"/>
          <w:lang w:val="es-BO"/>
        </w:rPr>
        <w:t>)</w:t>
      </w:r>
      <w:r w:rsidRPr="007C5340">
        <w:rPr>
          <w:rFonts w:ascii="Times New Roman" w:hAnsi="Times New Roman"/>
          <w:sz w:val="24"/>
          <w:szCs w:val="24"/>
          <w:lang w:val="es-BO"/>
        </w:rPr>
        <w:t xml:space="preserve"> en Santiago de Cuba fueron frecuentes las patologías endocrino-metabólicas y el Asma Bronquial, coincidiendo con esta última en </w:t>
      </w:r>
      <w:r w:rsidR="000E74D1" w:rsidRPr="007C5340">
        <w:rPr>
          <w:rFonts w:ascii="Times New Roman" w:hAnsi="Times New Roman"/>
          <w:sz w:val="24"/>
          <w:szCs w:val="24"/>
          <w:lang w:val="es-BO"/>
        </w:rPr>
        <w:t>los datos analizados.</w:t>
      </w:r>
    </w:p>
    <w:p w:rsidR="006244DA" w:rsidRPr="007C5340" w:rsidRDefault="006244DA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5340">
        <w:rPr>
          <w:rFonts w:ascii="Times New Roman" w:hAnsi="Times New Roman"/>
          <w:sz w:val="24"/>
          <w:szCs w:val="24"/>
        </w:rPr>
        <w:t>Llaguno</w:t>
      </w:r>
      <w:proofErr w:type="spellEnd"/>
      <w:r w:rsidRPr="007C53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5340">
        <w:rPr>
          <w:rFonts w:ascii="Times New Roman" w:hAnsi="Times New Roman"/>
          <w:sz w:val="24"/>
          <w:szCs w:val="24"/>
        </w:rPr>
        <w:t>Concha</w:t>
      </w:r>
      <w:r w:rsidR="00975231" w:rsidRPr="007C5340">
        <w:rPr>
          <w:rFonts w:ascii="Times New Roman" w:hAnsi="Times New Roman"/>
          <w:sz w:val="24"/>
          <w:szCs w:val="24"/>
        </w:rPr>
        <w:t>,</w:t>
      </w:r>
      <w:r w:rsidRPr="007C5340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94346C" w:rsidRPr="007C5340">
        <w:rPr>
          <w:rFonts w:ascii="Times New Roman" w:hAnsi="Times New Roman"/>
          <w:sz w:val="24"/>
          <w:szCs w:val="24"/>
          <w:vertAlign w:val="superscript"/>
        </w:rPr>
        <w:t>15</w:t>
      </w:r>
      <w:r w:rsidRPr="007C5340">
        <w:rPr>
          <w:rFonts w:ascii="Times New Roman" w:hAnsi="Times New Roman"/>
          <w:sz w:val="24"/>
          <w:szCs w:val="24"/>
          <w:vertAlign w:val="superscript"/>
        </w:rPr>
        <w:t>)</w:t>
      </w:r>
      <w:r w:rsidRPr="007C5340">
        <w:rPr>
          <w:rFonts w:ascii="Times New Roman" w:hAnsi="Times New Roman"/>
          <w:sz w:val="24"/>
          <w:szCs w:val="24"/>
        </w:rPr>
        <w:t xml:space="preserve"> en su estudio encontró mayor número de pacientes con antecedentes de uso de dispositivos intrauterinos (DIU)</w:t>
      </w:r>
      <w:r w:rsidR="004260A3" w:rsidRPr="007C5340">
        <w:rPr>
          <w:rFonts w:ascii="Times New Roman" w:hAnsi="Times New Roman"/>
          <w:sz w:val="24"/>
          <w:szCs w:val="24"/>
        </w:rPr>
        <w:t xml:space="preserve"> como método anticonceptivo (47,7 %), no existiendo coincidencias entre ambas investigaciones, ya que en la presente se obtuvo mayor reporte de Enfermedades de Transmisión Sexual (ETS), seguido por el uso de anticonceptivos.</w:t>
      </w:r>
    </w:p>
    <w:p w:rsidR="003659BB" w:rsidRPr="007C5340" w:rsidRDefault="003659BB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BO"/>
        </w:rPr>
      </w:pPr>
      <w:r w:rsidRPr="007C5340">
        <w:rPr>
          <w:rFonts w:ascii="Times New Roman" w:hAnsi="Times New Roman"/>
          <w:sz w:val="24"/>
          <w:szCs w:val="24"/>
        </w:rPr>
        <w:t xml:space="preserve">Durante la búsqueda de literatura que respaldara el estudio investigativo, no se encontraron publicaciones sobre el tema, de autores en la provincia, donde se refiriera a por ciento, tasas u otro, por municipios; sin embargo, se cumplió el objetivo, aportando resultados, que serán </w:t>
      </w:r>
      <w:r w:rsidRPr="007C5340">
        <w:rPr>
          <w:rFonts w:ascii="Times New Roman" w:hAnsi="Times New Roman"/>
          <w:sz w:val="24"/>
          <w:szCs w:val="24"/>
        </w:rPr>
        <w:lastRenderedPageBreak/>
        <w:t>puesto en práctica como parte de la labor preventiva; así como servirá de material de consulta para futuras investigaciones.</w:t>
      </w:r>
    </w:p>
    <w:p w:rsidR="004A2401" w:rsidRDefault="000C325C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5340">
        <w:rPr>
          <w:rFonts w:ascii="Times New Roman" w:hAnsi="Times New Roman"/>
          <w:sz w:val="24"/>
          <w:szCs w:val="24"/>
        </w:rPr>
        <w:t>Se concluye que</w:t>
      </w:r>
      <w:r w:rsidR="00362FD3" w:rsidRPr="007C5340">
        <w:rPr>
          <w:rFonts w:ascii="Times New Roman" w:hAnsi="Times New Roman"/>
          <w:sz w:val="24"/>
          <w:szCs w:val="24"/>
        </w:rPr>
        <w:t>,</w:t>
      </w:r>
      <w:r w:rsidRPr="007C5340">
        <w:rPr>
          <w:rFonts w:ascii="Times New Roman" w:hAnsi="Times New Roman"/>
          <w:sz w:val="24"/>
          <w:szCs w:val="24"/>
        </w:rPr>
        <w:t xml:space="preserve"> la infertilidad femenina está determinada no solo por factores propios ginecológicos, sino también por los socio-epidemiológicos que incluyen edad, hábitos tóxicos, estado nutricional, antecedentes personales, entre otros, y que en su mayoría son modificables, pudiendo ser identificados y tratados desde la atención primaria de salud.</w:t>
      </w:r>
    </w:p>
    <w:p w:rsidR="004A2401" w:rsidRDefault="004A2401" w:rsidP="004A240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4A2401" w:rsidRPr="007C5340" w:rsidRDefault="004A2401" w:rsidP="004A240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7C5340">
        <w:rPr>
          <w:rFonts w:ascii="Times New Roman" w:hAnsi="Times New Roman"/>
          <w:b/>
          <w:sz w:val="24"/>
          <w:szCs w:val="24"/>
          <w:lang w:val="es-ES"/>
        </w:rPr>
        <w:t>Conflicto de intereses</w:t>
      </w:r>
    </w:p>
    <w:p w:rsidR="004A2401" w:rsidRDefault="004A2401" w:rsidP="004A2401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C5340">
        <w:rPr>
          <w:rFonts w:ascii="Times New Roman" w:hAnsi="Times New Roman"/>
          <w:sz w:val="24"/>
          <w:szCs w:val="24"/>
          <w:lang w:val="es-ES"/>
        </w:rPr>
        <w:t>Los autores declaran no tener conflictos de intereses.</w:t>
      </w:r>
    </w:p>
    <w:p w:rsidR="00F25E5C" w:rsidRPr="00F25E5C" w:rsidRDefault="00F25E5C" w:rsidP="004A2401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es-ES"/>
        </w:rPr>
      </w:pPr>
      <w:r w:rsidRPr="00F25E5C">
        <w:rPr>
          <w:rFonts w:ascii="Times New Roman" w:eastAsia="Times New Roman" w:hAnsi="Times New Roman"/>
          <w:b/>
          <w:iCs/>
          <w:sz w:val="24"/>
          <w:szCs w:val="24"/>
          <w:lang w:eastAsia="es-ES"/>
        </w:rPr>
        <w:t>Contribución de autoría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Conceptualización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Pr="00D72B00">
        <w:rPr>
          <w:rFonts w:ascii="Times New Roman" w:hAnsi="Times New Roman"/>
          <w:sz w:val="24"/>
          <w:szCs w:val="24"/>
          <w:lang w:val="es-ES"/>
        </w:rPr>
        <w:t>Rolando Rodríguez Puga, Yoánderson Pérez Díaz.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Curación de datos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>:</w:t>
      </w:r>
      <w:r w:rsidR="00181ED5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D72B00">
        <w:rPr>
          <w:rFonts w:ascii="Times New Roman" w:hAnsi="Times New Roman"/>
          <w:sz w:val="24"/>
          <w:szCs w:val="24"/>
          <w:lang w:val="es-ES"/>
        </w:rPr>
        <w:t>Rolando Rodríguez Puga, Nurys Vázquez Rodríguez.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Análisis formal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Pr="00D72B00">
        <w:rPr>
          <w:rFonts w:ascii="Times New Roman" w:hAnsi="Times New Roman"/>
          <w:sz w:val="24"/>
          <w:szCs w:val="24"/>
          <w:lang w:val="es-ES"/>
        </w:rPr>
        <w:t>Rolando Rodríguez Puga, Yanira González Ronquillo.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Investigación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>:</w:t>
      </w:r>
      <w:r w:rsidRPr="00D72B00">
        <w:rPr>
          <w:rFonts w:ascii="Times New Roman" w:hAnsi="Times New Roman"/>
          <w:sz w:val="24"/>
          <w:szCs w:val="24"/>
          <w:lang w:val="es-ES"/>
        </w:rPr>
        <w:t xml:space="preserve">  </w:t>
      </w:r>
      <w:r w:rsidR="001D4FE9">
        <w:rPr>
          <w:rFonts w:ascii="Times New Roman" w:hAnsi="Times New Roman"/>
          <w:sz w:val="24"/>
          <w:szCs w:val="24"/>
          <w:lang w:val="es-ES"/>
        </w:rPr>
        <w:t xml:space="preserve">Rolando </w:t>
      </w:r>
      <w:r w:rsidRPr="00D72B00">
        <w:rPr>
          <w:rFonts w:ascii="Times New Roman" w:hAnsi="Times New Roman"/>
          <w:sz w:val="24"/>
          <w:szCs w:val="24"/>
          <w:lang w:val="es-ES"/>
        </w:rPr>
        <w:t>Rodríguez Puga</w:t>
      </w:r>
      <w:r w:rsidR="001D4FE9">
        <w:rPr>
          <w:rFonts w:ascii="Times New Roman" w:hAnsi="Times New Roman"/>
          <w:sz w:val="24"/>
          <w:szCs w:val="24"/>
          <w:lang w:val="es-ES"/>
        </w:rPr>
        <w:t>.</w:t>
      </w:r>
    </w:p>
    <w:p w:rsidR="00F25E5C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Metodología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Pr="00D72B00">
        <w:rPr>
          <w:rFonts w:ascii="Times New Roman" w:hAnsi="Times New Roman"/>
          <w:sz w:val="24"/>
          <w:szCs w:val="24"/>
          <w:lang w:val="es-ES"/>
        </w:rPr>
        <w:t>Rolando Rodríguez Puga, Yoánderson Pérez Díaz.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Supervisión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Pr="00D72B00">
        <w:rPr>
          <w:rFonts w:ascii="Times New Roman" w:hAnsi="Times New Roman"/>
          <w:sz w:val="24"/>
          <w:szCs w:val="24"/>
          <w:lang w:val="es-ES"/>
        </w:rPr>
        <w:t>Rolando Rodríguez Puga.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Validación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="001D4FE9">
        <w:rPr>
          <w:rFonts w:ascii="Times New Roman" w:eastAsia="Times New Roman" w:hAnsi="Times New Roman"/>
          <w:sz w:val="24"/>
          <w:szCs w:val="24"/>
          <w:lang w:eastAsia="es-ES"/>
        </w:rPr>
        <w:t xml:space="preserve">Rolando Rodríguez Puga, </w:t>
      </w:r>
      <w:r w:rsidR="001D4FE9">
        <w:rPr>
          <w:rFonts w:ascii="Times New Roman" w:eastAsia="Times New Roman" w:hAnsi="Times New Roman"/>
          <w:iCs/>
          <w:sz w:val="24"/>
          <w:szCs w:val="24"/>
          <w:lang w:eastAsia="es-ES"/>
        </w:rPr>
        <w:t>Yoánderson Pérez Díaz</w:t>
      </w:r>
      <w:r w:rsidRPr="00D72B00">
        <w:rPr>
          <w:rFonts w:ascii="Times New Roman" w:hAnsi="Times New Roman"/>
          <w:sz w:val="24"/>
          <w:szCs w:val="24"/>
          <w:lang w:val="es-ES"/>
        </w:rPr>
        <w:t>.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Visualización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Pr="00D72B00">
        <w:rPr>
          <w:rFonts w:ascii="Times New Roman" w:hAnsi="Times New Roman"/>
          <w:sz w:val="24"/>
          <w:szCs w:val="24"/>
          <w:lang w:val="es-ES"/>
        </w:rPr>
        <w:t>Rolando Rodríguez Pug</w:t>
      </w:r>
      <w:r w:rsidR="00D56101">
        <w:rPr>
          <w:rFonts w:ascii="Times New Roman" w:hAnsi="Times New Roman"/>
          <w:sz w:val="24"/>
          <w:szCs w:val="24"/>
          <w:lang w:val="es-ES"/>
        </w:rPr>
        <w:t>a</w:t>
      </w:r>
      <w:r w:rsidRPr="00D72B00">
        <w:rPr>
          <w:rFonts w:ascii="Times New Roman" w:hAnsi="Times New Roman"/>
          <w:sz w:val="24"/>
          <w:szCs w:val="24"/>
          <w:lang w:val="es-ES"/>
        </w:rPr>
        <w:t>, Nurys Vázquez Rodríguez.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Redacción-borrador original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Pr="00D72B00">
        <w:rPr>
          <w:rFonts w:ascii="Times New Roman" w:hAnsi="Times New Roman"/>
          <w:sz w:val="24"/>
          <w:szCs w:val="24"/>
          <w:lang w:val="es-ES"/>
        </w:rPr>
        <w:t>Rolando Rodríguez Puga, Yoánderson Pérez Díaz.</w:t>
      </w:r>
    </w:p>
    <w:p w:rsidR="004A2401" w:rsidRPr="00D72B00" w:rsidRDefault="004A2401" w:rsidP="004A2401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es-ES"/>
        </w:rPr>
      </w:pPr>
      <w:r w:rsidRPr="00D72B00">
        <w:rPr>
          <w:rFonts w:ascii="Times New Roman" w:eastAsia="Times New Roman" w:hAnsi="Times New Roman"/>
          <w:iCs/>
          <w:sz w:val="24"/>
          <w:szCs w:val="24"/>
          <w:lang w:eastAsia="es-ES"/>
        </w:rPr>
        <w:t>Redacción-revisión y edición</w:t>
      </w:r>
      <w:r w:rsidRPr="00D72B00"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 w:rsidRPr="00D72B00">
        <w:rPr>
          <w:rFonts w:ascii="Times New Roman" w:hAnsi="Times New Roman"/>
          <w:sz w:val="24"/>
          <w:szCs w:val="24"/>
          <w:lang w:val="es-ES"/>
        </w:rPr>
        <w:t>Rolando Rodríguez Puga, Yoánderson Pérez Díaz.</w:t>
      </w:r>
    </w:p>
    <w:p w:rsidR="00D72B00" w:rsidRDefault="00D72B00" w:rsidP="00657D3A">
      <w:pPr>
        <w:spacing w:line="360" w:lineRule="auto"/>
        <w:jc w:val="both"/>
        <w:rPr>
          <w:rFonts w:ascii="Times New Roman" w:hAnsi="Times New Roman"/>
          <w:sz w:val="24"/>
          <w:szCs w:val="24"/>
          <w:lang w:val="es-BO"/>
        </w:rPr>
      </w:pPr>
    </w:p>
    <w:p w:rsidR="004A2401" w:rsidRPr="004A2401" w:rsidRDefault="00556345" w:rsidP="00657D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BO"/>
        </w:rPr>
        <w:t>REFERENCIAS BIBLIOGRÁFICAS</w:t>
      </w:r>
    </w:p>
    <w:p w:rsidR="00003DF3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F79A1" w:rsidRPr="007C5340">
        <w:rPr>
          <w:rFonts w:ascii="Times New Roman" w:hAnsi="Times New Roman" w:cs="Times New Roman"/>
        </w:rPr>
        <w:t>Ramí</w:t>
      </w:r>
      <w:r w:rsidR="00E0754A" w:rsidRPr="007C5340">
        <w:rPr>
          <w:rFonts w:ascii="Times New Roman" w:hAnsi="Times New Roman" w:cs="Times New Roman"/>
        </w:rPr>
        <w:t>rez Durán G, Barriento García M. Salud sexual y reproductiva. Rev Cubana En</w:t>
      </w:r>
      <w:r w:rsidR="000F79A1" w:rsidRPr="007C5340">
        <w:rPr>
          <w:rFonts w:ascii="Times New Roman" w:hAnsi="Times New Roman" w:cs="Times New Roman"/>
        </w:rPr>
        <w:t>fermer [</w:t>
      </w:r>
      <w:r w:rsidR="003C2893">
        <w:rPr>
          <w:rFonts w:ascii="Times New Roman" w:hAnsi="Times New Roman" w:cs="Times New Roman"/>
        </w:rPr>
        <w:t xml:space="preserve">revista en </w:t>
      </w:r>
      <w:r w:rsidR="000F79A1" w:rsidRPr="007C5340">
        <w:rPr>
          <w:rFonts w:ascii="Times New Roman" w:hAnsi="Times New Roman" w:cs="Times New Roman"/>
        </w:rPr>
        <w:t xml:space="preserve">Internet]. 2015 </w:t>
      </w:r>
      <w:r w:rsidR="00E0754A" w:rsidRPr="007C5340">
        <w:rPr>
          <w:rFonts w:ascii="Times New Roman" w:hAnsi="Times New Roman" w:cs="Times New Roman"/>
        </w:rPr>
        <w:t>[</w:t>
      </w:r>
      <w:r w:rsidR="003C2893">
        <w:rPr>
          <w:rFonts w:ascii="Times New Roman" w:hAnsi="Times New Roman" w:cs="Times New Roman"/>
        </w:rPr>
        <w:t xml:space="preserve">citado 11 Dic </w:t>
      </w:r>
      <w:r w:rsidR="00E0754A" w:rsidRPr="007C5340">
        <w:rPr>
          <w:rFonts w:ascii="Times New Roman" w:hAnsi="Times New Roman" w:cs="Times New Roman"/>
        </w:rPr>
        <w:t>2022</w:t>
      </w:r>
      <w:r w:rsidR="00F54EB6" w:rsidRPr="007C5340">
        <w:rPr>
          <w:rFonts w:ascii="Times New Roman" w:hAnsi="Times New Roman" w:cs="Times New Roman"/>
        </w:rPr>
        <w:t>];31(1):</w:t>
      </w:r>
      <w:r w:rsidR="00484AE9" w:rsidRPr="007C5340">
        <w:rPr>
          <w:rFonts w:ascii="Times New Roman" w:hAnsi="Times New Roman" w:cs="Times New Roman"/>
        </w:rPr>
        <w:t>[aprox. 17</w:t>
      </w:r>
      <w:r w:rsidR="00E0754A" w:rsidRPr="007C5340">
        <w:rPr>
          <w:rFonts w:ascii="Times New Roman" w:hAnsi="Times New Roman" w:cs="Times New Roman"/>
        </w:rPr>
        <w:t xml:space="preserve"> p.]. Disponible en:</w:t>
      </w:r>
      <w:r w:rsidR="00E0754A" w:rsidRPr="007C5340">
        <w:rPr>
          <w:rFonts w:ascii="Times New Roman" w:hAnsi="Times New Roman" w:cs="Times New Roman"/>
        </w:rPr>
        <w:br/>
      </w:r>
      <w:hyperlink r:id="rId10" w:history="1">
        <w:r w:rsidR="00E0754A" w:rsidRPr="007C5340">
          <w:rPr>
            <w:rFonts w:ascii="Times New Roman" w:hAnsi="Times New Roman" w:cs="Times New Roman"/>
            <w:color w:val="0070C0"/>
            <w:u w:val="single"/>
          </w:rPr>
          <w:t>http://scielo.sld.cu/scielo.php?script=sci_arttext&amp;pid=S0864-03192015000100001&amp;nrm=iso</w:t>
        </w:r>
      </w:hyperlink>
      <w:r w:rsidR="00E0754A" w:rsidRPr="007C5340">
        <w:rPr>
          <w:rFonts w:ascii="Times New Roman" w:hAnsi="Times New Roman" w:cs="Times New Roman"/>
          <w:color w:val="0070C0"/>
          <w:u w:val="single"/>
        </w:rPr>
        <w:t>.</w:t>
      </w:r>
    </w:p>
    <w:p w:rsidR="00E0754A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="00E0754A" w:rsidRPr="007C5340">
        <w:rPr>
          <w:rFonts w:ascii="Times New Roman" w:hAnsi="Times New Roman" w:cs="Times New Roman"/>
          <w:lang w:val="en-US"/>
        </w:rPr>
        <w:t xml:space="preserve">Song M, Tessier K, Jensen J, Leonard P, Geller MA, Teoh D. Differences in Family Planning and Fertility Among Female and Male Gynecologic Oncologists. </w:t>
      </w:r>
      <w:r w:rsidR="008469D5">
        <w:rPr>
          <w:rFonts w:ascii="Times New Roman" w:hAnsi="Times New Roman" w:cs="Times New Roman"/>
          <w:lang w:val="en-US"/>
        </w:rPr>
        <w:t xml:space="preserve">Womens Health </w:t>
      </w:r>
      <w:r w:rsidR="008469D5">
        <w:rPr>
          <w:rFonts w:ascii="Times New Roman" w:hAnsi="Times New Roman" w:cs="Times New Roman"/>
          <w:lang w:val="en-US"/>
        </w:rPr>
        <w:lastRenderedPageBreak/>
        <w:t>Rep</w:t>
      </w:r>
      <w:r w:rsidR="00E0754A" w:rsidRPr="007C5340">
        <w:rPr>
          <w:rFonts w:ascii="Times New Roman" w:hAnsi="Times New Roman" w:cs="Times New Roman"/>
          <w:lang w:val="en-US"/>
        </w:rPr>
        <w:t xml:space="preserve"> [</w:t>
      </w:r>
      <w:r w:rsidR="00B85930">
        <w:rPr>
          <w:rFonts w:ascii="Times New Roman" w:hAnsi="Times New Roman" w:cs="Times New Roman"/>
          <w:lang w:val="en-US"/>
        </w:rPr>
        <w:t xml:space="preserve">revista en </w:t>
      </w:r>
      <w:r w:rsidR="00E0754A" w:rsidRPr="007C5340">
        <w:rPr>
          <w:rFonts w:ascii="Times New Roman" w:hAnsi="Times New Roman" w:cs="Times New Roman"/>
          <w:lang w:val="en-US"/>
        </w:rPr>
        <w:t>Internet]. 2021 [</w:t>
      </w:r>
      <w:r w:rsidR="00B85930">
        <w:rPr>
          <w:rFonts w:ascii="Times New Roman" w:hAnsi="Times New Roman" w:cs="Times New Roman"/>
          <w:lang w:val="en-US"/>
        </w:rPr>
        <w:t xml:space="preserve">citado 11 Dic </w:t>
      </w:r>
      <w:r w:rsidR="00F54EB6" w:rsidRPr="007C5340">
        <w:rPr>
          <w:rFonts w:ascii="Times New Roman" w:hAnsi="Times New Roman" w:cs="Times New Roman"/>
          <w:lang w:val="en-US"/>
        </w:rPr>
        <w:t>2022];2(1):</w:t>
      </w:r>
      <w:r w:rsidR="00E0754A" w:rsidRPr="007C5340">
        <w:rPr>
          <w:rFonts w:ascii="Times New Roman" w:hAnsi="Times New Roman" w:cs="Times New Roman"/>
          <w:lang w:val="en-US"/>
        </w:rPr>
        <w:t xml:space="preserve">[aprox. </w:t>
      </w:r>
      <w:r w:rsidR="00484AE9" w:rsidRPr="007C5340">
        <w:rPr>
          <w:rFonts w:ascii="Times New Roman" w:hAnsi="Times New Roman" w:cs="Times New Roman"/>
          <w:lang w:val="en-US"/>
        </w:rPr>
        <w:t>1</w:t>
      </w:r>
      <w:r w:rsidR="00E0754A" w:rsidRPr="007C5340">
        <w:rPr>
          <w:rFonts w:ascii="Times New Roman" w:hAnsi="Times New Roman" w:cs="Times New Roman"/>
          <w:lang w:val="en-US"/>
        </w:rPr>
        <w:t>5 p.]. Disponible en:</w:t>
      </w:r>
      <w:r w:rsidR="00E0754A" w:rsidRPr="007C5340">
        <w:rPr>
          <w:rFonts w:ascii="Times New Roman" w:hAnsi="Times New Roman" w:cs="Times New Roman"/>
          <w:lang w:val="en-US"/>
        </w:rPr>
        <w:br/>
      </w:r>
      <w:r w:rsidR="00E0754A" w:rsidRPr="007C5340">
        <w:rPr>
          <w:rFonts w:ascii="Times New Roman" w:hAnsi="Times New Roman" w:cs="Times New Roman"/>
          <w:color w:val="0070C0"/>
          <w:u w:val="single"/>
          <w:lang w:val="en-US"/>
        </w:rPr>
        <w:t>https://www.ncbi.nlm.nih.gov/pmc/articles/PMC8080917/.</w:t>
      </w:r>
    </w:p>
    <w:p w:rsidR="00E0754A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84AE9" w:rsidRPr="007C5340">
        <w:rPr>
          <w:rFonts w:ascii="Times New Roman" w:hAnsi="Times New Roman" w:cs="Times New Roman"/>
        </w:rPr>
        <w:t xml:space="preserve">Villanueva Ccoyllo SB, Roldan </w:t>
      </w:r>
      <w:r w:rsidR="00E0754A" w:rsidRPr="007C5340">
        <w:rPr>
          <w:rFonts w:ascii="Times New Roman" w:hAnsi="Times New Roman" w:cs="Times New Roman"/>
        </w:rPr>
        <w:t xml:space="preserve">Arbieto L. Factores de riesgo para infertilidad en mujeres en un Hospital Peruano. Rev. </w:t>
      </w:r>
      <w:r w:rsidR="00B16CD3">
        <w:rPr>
          <w:rFonts w:ascii="Times New Roman" w:hAnsi="Times New Roman" w:cs="Times New Roman"/>
        </w:rPr>
        <w:t>Fac. Med. Hum</w:t>
      </w:r>
      <w:r w:rsidR="00484AE9" w:rsidRPr="007C5340">
        <w:rPr>
          <w:rFonts w:ascii="Times New Roman" w:hAnsi="Times New Roman" w:cs="Times New Roman"/>
        </w:rPr>
        <w:t xml:space="preserve"> [</w:t>
      </w:r>
      <w:r w:rsidR="00B16CD3">
        <w:rPr>
          <w:rFonts w:ascii="Times New Roman" w:hAnsi="Times New Roman" w:cs="Times New Roman"/>
        </w:rPr>
        <w:t xml:space="preserve">revista en </w:t>
      </w:r>
      <w:r w:rsidR="00484AE9" w:rsidRPr="007C5340">
        <w:rPr>
          <w:rFonts w:ascii="Times New Roman" w:hAnsi="Times New Roman" w:cs="Times New Roman"/>
        </w:rPr>
        <w:t xml:space="preserve">Internet]. 2020 </w:t>
      </w:r>
      <w:r w:rsidR="00E0754A" w:rsidRPr="007C5340">
        <w:rPr>
          <w:rFonts w:ascii="Times New Roman" w:hAnsi="Times New Roman" w:cs="Times New Roman"/>
        </w:rPr>
        <w:t>[</w:t>
      </w:r>
      <w:r w:rsidR="00B16CD3">
        <w:rPr>
          <w:rFonts w:ascii="Times New Roman" w:hAnsi="Times New Roman" w:cs="Times New Roman"/>
        </w:rPr>
        <w:t xml:space="preserve">citado 11 Dic </w:t>
      </w:r>
      <w:r w:rsidR="00E0754A" w:rsidRPr="007C5340">
        <w:rPr>
          <w:rFonts w:ascii="Times New Roman" w:hAnsi="Times New Roman" w:cs="Times New Roman"/>
        </w:rPr>
        <w:t>2022</w:t>
      </w:r>
      <w:r w:rsidR="00F54EB6" w:rsidRPr="007C5340">
        <w:rPr>
          <w:rFonts w:ascii="Times New Roman" w:hAnsi="Times New Roman" w:cs="Times New Roman"/>
        </w:rPr>
        <w:t>];20(2):</w:t>
      </w:r>
      <w:r w:rsidR="00484AE9" w:rsidRPr="007C5340">
        <w:rPr>
          <w:rFonts w:ascii="Times New Roman" w:hAnsi="Times New Roman" w:cs="Times New Roman"/>
        </w:rPr>
        <w:t>[aprox. 16</w:t>
      </w:r>
      <w:r w:rsidR="00E0754A" w:rsidRPr="007C5340">
        <w:rPr>
          <w:rFonts w:ascii="Times New Roman" w:hAnsi="Times New Roman" w:cs="Times New Roman"/>
        </w:rPr>
        <w:t xml:space="preserve"> p.]. Disponible en:</w:t>
      </w:r>
      <w:r w:rsidR="00E0754A" w:rsidRPr="007C5340">
        <w:rPr>
          <w:rFonts w:ascii="Times New Roman" w:hAnsi="Times New Roman" w:cs="Times New Roman"/>
        </w:rPr>
        <w:br/>
      </w:r>
      <w:r w:rsidR="00E0754A" w:rsidRPr="007C5340">
        <w:rPr>
          <w:rFonts w:ascii="Times New Roman" w:hAnsi="Times New Roman" w:cs="Times New Roman"/>
          <w:color w:val="0070C0"/>
          <w:u w:val="single"/>
        </w:rPr>
        <w:t>http://www.scielo.org.pe/scielo.php?script=sci_arttext&amp;pid=S2308-05312020000200186&amp;lang=en.</w:t>
      </w:r>
    </w:p>
    <w:p w:rsidR="00E0754A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en-US"/>
        </w:rPr>
        <w:t xml:space="preserve">4. </w:t>
      </w:r>
      <w:r w:rsidR="00E0754A" w:rsidRPr="007C5340">
        <w:rPr>
          <w:rFonts w:ascii="Times New Roman" w:hAnsi="Times New Roman" w:cs="Times New Roman"/>
          <w:lang w:val="en-US"/>
        </w:rPr>
        <w:t xml:space="preserve">Cui C, Wang L, Wang X. Effects of Self-Esteem on the Associations Between Infertility-Related Stress and Psychological Distress Among Infertile Chinese Women: A Cross-Sectional Study. </w:t>
      </w:r>
      <w:r w:rsidR="00E0754A" w:rsidRPr="007C5340">
        <w:rPr>
          <w:rFonts w:ascii="Times New Roman" w:hAnsi="Times New Roman" w:cs="Times New Roman"/>
          <w:lang w:val="fr-FR"/>
        </w:rPr>
        <w:t>Psychol Res Behav Manag [</w:t>
      </w:r>
      <w:r w:rsidR="00B16CD3">
        <w:rPr>
          <w:rFonts w:ascii="Times New Roman" w:hAnsi="Times New Roman" w:cs="Times New Roman"/>
          <w:lang w:val="fr-FR"/>
        </w:rPr>
        <w:t xml:space="preserve">revista en </w:t>
      </w:r>
      <w:r w:rsidR="00E0754A" w:rsidRPr="007C5340">
        <w:rPr>
          <w:rFonts w:ascii="Times New Roman" w:hAnsi="Times New Roman" w:cs="Times New Roman"/>
          <w:lang w:val="fr-FR"/>
        </w:rPr>
        <w:t>Internet]. 2021 [</w:t>
      </w:r>
      <w:r w:rsidR="00C743B5">
        <w:rPr>
          <w:rFonts w:ascii="Times New Roman" w:hAnsi="Times New Roman" w:cs="Times New Roman"/>
          <w:lang w:val="fr-FR"/>
        </w:rPr>
        <w:t xml:space="preserve">citado 11 </w:t>
      </w:r>
      <w:r w:rsidR="00B16CD3">
        <w:rPr>
          <w:rFonts w:ascii="Times New Roman" w:hAnsi="Times New Roman" w:cs="Times New Roman"/>
          <w:lang w:val="fr-FR"/>
        </w:rPr>
        <w:t xml:space="preserve">Dic </w:t>
      </w:r>
      <w:r w:rsidR="00F54EB6" w:rsidRPr="007C5340">
        <w:rPr>
          <w:rFonts w:ascii="Times New Roman" w:hAnsi="Times New Roman" w:cs="Times New Roman"/>
          <w:lang w:val="fr-FR"/>
        </w:rPr>
        <w:t>2022];</w:t>
      </w:r>
      <w:r w:rsidR="00E0754A" w:rsidRPr="007C5340">
        <w:rPr>
          <w:rFonts w:ascii="Times New Roman" w:hAnsi="Times New Roman" w:cs="Times New Roman"/>
          <w:lang w:val="fr-FR"/>
        </w:rPr>
        <w:t>14</w:t>
      </w:r>
      <w:r w:rsidR="00F54EB6" w:rsidRPr="007C5340">
        <w:rPr>
          <w:rFonts w:ascii="Times New Roman" w:hAnsi="Times New Roman" w:cs="Times New Roman"/>
          <w:lang w:val="fr-FR"/>
        </w:rPr>
        <w:t>(1):</w:t>
      </w:r>
      <w:r w:rsidR="00F16F98" w:rsidRPr="007C5340">
        <w:rPr>
          <w:rFonts w:ascii="Times New Roman" w:hAnsi="Times New Roman" w:cs="Times New Roman"/>
          <w:lang w:val="fr-FR"/>
        </w:rPr>
        <w:t>[aprox. 18</w:t>
      </w:r>
      <w:r w:rsidR="00E0754A" w:rsidRPr="007C5340">
        <w:rPr>
          <w:rFonts w:ascii="Times New Roman" w:hAnsi="Times New Roman" w:cs="Times New Roman"/>
          <w:lang w:val="fr-FR"/>
        </w:rPr>
        <w:t xml:space="preserve"> p.]. Disponible en:</w:t>
      </w:r>
      <w:r w:rsidR="00E0754A" w:rsidRPr="007C5340">
        <w:rPr>
          <w:rFonts w:ascii="Times New Roman" w:hAnsi="Times New Roman" w:cs="Times New Roman"/>
          <w:lang w:val="fr-FR"/>
        </w:rPr>
        <w:br/>
      </w:r>
      <w:hyperlink r:id="rId11" w:history="1">
        <w:r w:rsidR="009A4940" w:rsidRPr="007C5340">
          <w:rPr>
            <w:rStyle w:val="Hipervnculo"/>
            <w:rFonts w:ascii="Times New Roman" w:hAnsi="Times New Roman" w:cs="Times New Roman"/>
            <w:lang w:val="fr-FR"/>
          </w:rPr>
          <w:t>https://www.ncbi.nlm.nih.gov/pmc/articles/PMC8364430/</w:t>
        </w:r>
      </w:hyperlink>
      <w:r w:rsidR="00E0754A" w:rsidRPr="007C5340">
        <w:rPr>
          <w:rFonts w:ascii="Times New Roman" w:hAnsi="Times New Roman" w:cs="Times New Roman"/>
          <w:color w:val="0070C0"/>
          <w:u w:val="single"/>
          <w:lang w:val="fr-FR"/>
        </w:rPr>
        <w:t>.</w:t>
      </w:r>
    </w:p>
    <w:p w:rsidR="00E0754A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5. </w:t>
      </w:r>
      <w:r w:rsidR="00E0754A" w:rsidRPr="007C5340">
        <w:rPr>
          <w:rFonts w:ascii="Times New Roman" w:hAnsi="Times New Roman" w:cs="Times New Roman"/>
          <w:lang w:val="en-US"/>
        </w:rPr>
        <w:t xml:space="preserve">Zarif Golbar Yazdi H, Aghamohammadian Sharbaf H, Kareshki H, Amirian M. Psychosocial Consequences of Female Infertility in Iran: A Meta-Analysis. </w:t>
      </w:r>
      <w:r w:rsidR="00E0754A" w:rsidRPr="007C5340">
        <w:rPr>
          <w:rFonts w:ascii="Times New Roman" w:hAnsi="Times New Roman" w:cs="Times New Roman"/>
          <w:lang w:val="fr-FR"/>
        </w:rPr>
        <w:t>Front Psychiatry</w:t>
      </w:r>
      <w:r w:rsidR="003C3C22" w:rsidRPr="007C5340">
        <w:rPr>
          <w:rFonts w:ascii="Times New Roman" w:hAnsi="Times New Roman" w:cs="Times New Roman"/>
          <w:lang w:val="fr-FR"/>
        </w:rPr>
        <w:t xml:space="preserve"> </w:t>
      </w:r>
      <w:r w:rsidR="00E0754A" w:rsidRPr="007C5340">
        <w:rPr>
          <w:rFonts w:ascii="Times New Roman" w:hAnsi="Times New Roman" w:cs="Times New Roman"/>
          <w:lang w:val="fr-FR"/>
        </w:rPr>
        <w:t>[</w:t>
      </w:r>
      <w:r w:rsidR="005049B3">
        <w:rPr>
          <w:rFonts w:ascii="Times New Roman" w:hAnsi="Times New Roman" w:cs="Times New Roman"/>
          <w:lang w:val="fr-FR"/>
        </w:rPr>
        <w:t xml:space="preserve">revista en </w:t>
      </w:r>
      <w:r w:rsidR="00E0754A" w:rsidRPr="007C5340">
        <w:rPr>
          <w:rFonts w:ascii="Times New Roman" w:hAnsi="Times New Roman" w:cs="Times New Roman"/>
          <w:lang w:val="fr-FR"/>
        </w:rPr>
        <w:t>Internet]. 2020 [</w:t>
      </w:r>
      <w:r w:rsidR="00C743B5">
        <w:rPr>
          <w:rFonts w:ascii="Times New Roman" w:hAnsi="Times New Roman" w:cs="Times New Roman"/>
          <w:lang w:val="fr-FR"/>
        </w:rPr>
        <w:t>citado 11</w:t>
      </w:r>
      <w:r w:rsidR="008815F4">
        <w:rPr>
          <w:rFonts w:ascii="Times New Roman" w:hAnsi="Times New Roman" w:cs="Times New Roman"/>
          <w:lang w:val="fr-FR"/>
        </w:rPr>
        <w:t xml:space="preserve"> Dic </w:t>
      </w:r>
      <w:r w:rsidR="00F54EB6" w:rsidRPr="007C5340">
        <w:rPr>
          <w:rFonts w:ascii="Times New Roman" w:hAnsi="Times New Roman" w:cs="Times New Roman"/>
          <w:lang w:val="fr-FR"/>
        </w:rPr>
        <w:t>2022];</w:t>
      </w:r>
      <w:r w:rsidR="00E0754A" w:rsidRPr="007C5340">
        <w:rPr>
          <w:rFonts w:ascii="Times New Roman" w:hAnsi="Times New Roman" w:cs="Times New Roman"/>
          <w:lang w:val="fr-FR"/>
        </w:rPr>
        <w:t>11</w:t>
      </w:r>
      <w:r w:rsidR="00F54EB6" w:rsidRPr="007C5340">
        <w:rPr>
          <w:rFonts w:ascii="Times New Roman" w:hAnsi="Times New Roman" w:cs="Times New Roman"/>
          <w:lang w:val="fr-FR"/>
        </w:rPr>
        <w:t>(1):</w:t>
      </w:r>
      <w:r w:rsidR="003C3C22" w:rsidRPr="007C5340">
        <w:rPr>
          <w:rFonts w:ascii="Times New Roman" w:hAnsi="Times New Roman" w:cs="Times New Roman"/>
          <w:lang w:val="fr-FR"/>
        </w:rPr>
        <w:t>[aprox. 18</w:t>
      </w:r>
      <w:r w:rsidR="00E0754A" w:rsidRPr="007C5340">
        <w:rPr>
          <w:rFonts w:ascii="Times New Roman" w:hAnsi="Times New Roman" w:cs="Times New Roman"/>
          <w:lang w:val="fr-FR"/>
        </w:rPr>
        <w:t xml:space="preserve"> p.]. Disponible en:</w:t>
      </w:r>
      <w:r w:rsidR="00E0754A" w:rsidRPr="007C5340">
        <w:rPr>
          <w:rFonts w:ascii="Times New Roman" w:hAnsi="Times New Roman" w:cs="Times New Roman"/>
          <w:lang w:val="fr-FR"/>
        </w:rPr>
        <w:br/>
      </w:r>
      <w:r w:rsidR="00E0754A" w:rsidRPr="007C5340">
        <w:rPr>
          <w:rFonts w:ascii="Times New Roman" w:hAnsi="Times New Roman" w:cs="Times New Roman"/>
          <w:color w:val="0070C0"/>
          <w:u w:val="single"/>
          <w:lang w:val="fr-FR"/>
        </w:rPr>
        <w:t>https://www.ncbi.nlm.nih.gov/pmc/articles/PMC7674496/.</w:t>
      </w:r>
    </w:p>
    <w:p w:rsidR="00E0754A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6. </w:t>
      </w:r>
      <w:r w:rsidR="00081A2A" w:rsidRPr="007C5340">
        <w:rPr>
          <w:rFonts w:ascii="Times New Roman" w:hAnsi="Times New Roman" w:cs="Times New Roman"/>
        </w:rPr>
        <w:t xml:space="preserve">Barroso Villa G, Valdespin Fierro C, Álvarez Lozano A, García </w:t>
      </w:r>
      <w:r w:rsidR="00E0754A" w:rsidRPr="007C5340">
        <w:rPr>
          <w:rFonts w:ascii="Times New Roman" w:hAnsi="Times New Roman" w:cs="Times New Roman"/>
        </w:rPr>
        <w:t xml:space="preserve">Montes LD, </w:t>
      </w:r>
      <w:r w:rsidR="00081A2A" w:rsidRPr="007C5340">
        <w:rPr>
          <w:rFonts w:ascii="Times New Roman" w:hAnsi="Times New Roman" w:cs="Times New Roman"/>
        </w:rPr>
        <w:t xml:space="preserve">Robledo Trejo G, Ávila </w:t>
      </w:r>
      <w:r w:rsidR="00E0754A" w:rsidRPr="007C5340">
        <w:rPr>
          <w:rFonts w:ascii="Times New Roman" w:hAnsi="Times New Roman" w:cs="Times New Roman"/>
        </w:rPr>
        <w:t>Lombardo R. Efecto en los resultados reproductivos con la “magnetic-actived cell sorting (MACS)” para la eliminación de espermatozoides positivos a anexina V en parejas con infertilidad i</w:t>
      </w:r>
      <w:r w:rsidR="00081A2A" w:rsidRPr="007C5340">
        <w:rPr>
          <w:rFonts w:ascii="Times New Roman" w:hAnsi="Times New Roman" w:cs="Times New Roman"/>
        </w:rPr>
        <w:t xml:space="preserve">nexplicable. </w:t>
      </w:r>
      <w:r w:rsidR="00081A2A" w:rsidRPr="007C5340">
        <w:rPr>
          <w:rFonts w:ascii="Times New Roman" w:hAnsi="Times New Roman" w:cs="Times New Roman"/>
          <w:lang w:val="fr-FR"/>
        </w:rPr>
        <w:t>Ginecol. Obstet. Me</w:t>
      </w:r>
      <w:r w:rsidR="00C743B5">
        <w:rPr>
          <w:rFonts w:ascii="Times New Roman" w:hAnsi="Times New Roman" w:cs="Times New Roman"/>
          <w:lang w:val="fr-FR"/>
        </w:rPr>
        <w:t>x</w:t>
      </w:r>
      <w:r w:rsidR="00E0754A" w:rsidRPr="007C5340">
        <w:rPr>
          <w:rFonts w:ascii="Times New Roman" w:hAnsi="Times New Roman" w:cs="Times New Roman"/>
          <w:lang w:val="fr-FR"/>
        </w:rPr>
        <w:t xml:space="preserve"> [</w:t>
      </w:r>
      <w:r w:rsidR="00C743B5">
        <w:rPr>
          <w:rFonts w:ascii="Times New Roman" w:hAnsi="Times New Roman" w:cs="Times New Roman"/>
          <w:lang w:val="fr-FR"/>
        </w:rPr>
        <w:t xml:space="preserve">revista en </w:t>
      </w:r>
      <w:r w:rsidR="00E0754A" w:rsidRPr="007C5340">
        <w:rPr>
          <w:rFonts w:ascii="Times New Roman" w:hAnsi="Times New Roman" w:cs="Times New Roman"/>
          <w:lang w:val="fr-FR"/>
        </w:rPr>
        <w:t>Internet].</w:t>
      </w:r>
      <w:r w:rsidR="00234FDE" w:rsidRPr="007C5340">
        <w:rPr>
          <w:rFonts w:ascii="Times New Roman" w:hAnsi="Times New Roman" w:cs="Times New Roman"/>
          <w:lang w:val="fr-FR"/>
        </w:rPr>
        <w:t xml:space="preserve"> 2018 </w:t>
      </w:r>
      <w:r w:rsidR="00E0754A" w:rsidRPr="007C5340">
        <w:rPr>
          <w:rFonts w:ascii="Times New Roman" w:hAnsi="Times New Roman" w:cs="Times New Roman"/>
          <w:lang w:val="fr-FR"/>
        </w:rPr>
        <w:t>[</w:t>
      </w:r>
      <w:r w:rsidR="00C743B5">
        <w:rPr>
          <w:rFonts w:ascii="Times New Roman" w:hAnsi="Times New Roman" w:cs="Times New Roman"/>
          <w:lang w:val="fr-FR"/>
        </w:rPr>
        <w:t xml:space="preserve">citado 11 Dic </w:t>
      </w:r>
      <w:r w:rsidR="00E0754A" w:rsidRPr="007C5340">
        <w:rPr>
          <w:rFonts w:ascii="Times New Roman" w:hAnsi="Times New Roman" w:cs="Times New Roman"/>
          <w:lang w:val="fr-FR"/>
        </w:rPr>
        <w:t>2022</w:t>
      </w:r>
      <w:r w:rsidR="00F54EB6" w:rsidRPr="007C5340">
        <w:rPr>
          <w:rFonts w:ascii="Times New Roman" w:hAnsi="Times New Roman" w:cs="Times New Roman"/>
          <w:lang w:val="fr-FR"/>
        </w:rPr>
        <w:t>];86(8):</w:t>
      </w:r>
      <w:r w:rsidR="00234FDE" w:rsidRPr="007C5340">
        <w:rPr>
          <w:rFonts w:ascii="Times New Roman" w:hAnsi="Times New Roman" w:cs="Times New Roman"/>
          <w:lang w:val="fr-FR"/>
        </w:rPr>
        <w:t>[aprox. 14</w:t>
      </w:r>
      <w:r w:rsidR="00E0754A" w:rsidRPr="007C5340">
        <w:rPr>
          <w:rFonts w:ascii="Times New Roman" w:hAnsi="Times New Roman" w:cs="Times New Roman"/>
          <w:lang w:val="fr-FR"/>
        </w:rPr>
        <w:t xml:space="preserve"> p.]. Disponible en:</w:t>
      </w:r>
      <w:r w:rsidR="00E0754A" w:rsidRPr="007C5340">
        <w:rPr>
          <w:rFonts w:ascii="Times New Roman" w:hAnsi="Times New Roman" w:cs="Times New Roman"/>
          <w:lang w:val="fr-FR"/>
        </w:rPr>
        <w:br/>
      </w:r>
      <w:r w:rsidR="00E0754A" w:rsidRPr="007C5340">
        <w:rPr>
          <w:rFonts w:ascii="Times New Roman" w:hAnsi="Times New Roman" w:cs="Times New Roman"/>
          <w:color w:val="0070C0"/>
          <w:u w:val="single"/>
          <w:lang w:val="fr-FR"/>
        </w:rPr>
        <w:t>http://www.scielo.org.mx/pdf/gom/v86n8/0300-9041-gom-86-08-539.pdf.</w:t>
      </w:r>
    </w:p>
    <w:p w:rsidR="00E0754A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E0754A" w:rsidRPr="007C5340">
        <w:rPr>
          <w:rFonts w:ascii="Times New Roman" w:hAnsi="Times New Roman" w:cs="Times New Roman"/>
        </w:rPr>
        <w:t>Ascenzo Palacio A, Cortez LJ. La reproducción humana en el P</w:t>
      </w:r>
      <w:r w:rsidR="00C743B5">
        <w:rPr>
          <w:rFonts w:ascii="Times New Roman" w:hAnsi="Times New Roman" w:cs="Times New Roman"/>
        </w:rPr>
        <w:t>erú. Rev. peru. ginecol. obstet</w:t>
      </w:r>
      <w:r w:rsidR="00E0754A" w:rsidRPr="007C5340">
        <w:rPr>
          <w:rFonts w:ascii="Times New Roman" w:hAnsi="Times New Roman" w:cs="Times New Roman"/>
        </w:rPr>
        <w:t xml:space="preserve"> [</w:t>
      </w:r>
      <w:r w:rsidR="00C743B5">
        <w:rPr>
          <w:rFonts w:ascii="Times New Roman" w:hAnsi="Times New Roman" w:cs="Times New Roman"/>
        </w:rPr>
        <w:t xml:space="preserve">revista en </w:t>
      </w:r>
      <w:r w:rsidR="00E0754A" w:rsidRPr="007C5340">
        <w:rPr>
          <w:rFonts w:ascii="Times New Roman" w:hAnsi="Times New Roman" w:cs="Times New Roman"/>
        </w:rPr>
        <w:t xml:space="preserve">Internet]. </w:t>
      </w:r>
      <w:r w:rsidR="009A14F5" w:rsidRPr="007C5340">
        <w:rPr>
          <w:rFonts w:ascii="Times New Roman" w:hAnsi="Times New Roman" w:cs="Times New Roman"/>
        </w:rPr>
        <w:t xml:space="preserve">2021 </w:t>
      </w:r>
      <w:r w:rsidR="00E0754A" w:rsidRPr="007C5340">
        <w:rPr>
          <w:rFonts w:ascii="Times New Roman" w:hAnsi="Times New Roman" w:cs="Times New Roman"/>
        </w:rPr>
        <w:t>[</w:t>
      </w:r>
      <w:r w:rsidR="00C743B5">
        <w:rPr>
          <w:rFonts w:ascii="Times New Roman" w:hAnsi="Times New Roman" w:cs="Times New Roman"/>
        </w:rPr>
        <w:t xml:space="preserve">citado 11 Dic </w:t>
      </w:r>
      <w:r w:rsidR="00E0754A" w:rsidRPr="007C5340">
        <w:rPr>
          <w:rFonts w:ascii="Times New Roman" w:hAnsi="Times New Roman" w:cs="Times New Roman"/>
        </w:rPr>
        <w:t>2022</w:t>
      </w:r>
      <w:r w:rsidR="00F54EB6" w:rsidRPr="007C5340">
        <w:rPr>
          <w:rFonts w:ascii="Times New Roman" w:hAnsi="Times New Roman" w:cs="Times New Roman"/>
        </w:rPr>
        <w:t>];67(3):</w:t>
      </w:r>
      <w:r w:rsidR="009A14F5" w:rsidRPr="007C5340">
        <w:rPr>
          <w:rFonts w:ascii="Times New Roman" w:hAnsi="Times New Roman" w:cs="Times New Roman"/>
        </w:rPr>
        <w:t>[aprox. 16</w:t>
      </w:r>
      <w:r w:rsidR="00E0754A" w:rsidRPr="007C5340">
        <w:rPr>
          <w:rFonts w:ascii="Times New Roman" w:hAnsi="Times New Roman" w:cs="Times New Roman"/>
        </w:rPr>
        <w:t xml:space="preserve"> p.]. Disponible en:</w:t>
      </w:r>
      <w:r w:rsidR="00E0754A" w:rsidRPr="007C5340">
        <w:rPr>
          <w:rFonts w:ascii="Times New Roman" w:hAnsi="Times New Roman" w:cs="Times New Roman"/>
        </w:rPr>
        <w:br/>
      </w:r>
      <w:hyperlink r:id="rId12" w:history="1">
        <w:r w:rsidR="003C4620" w:rsidRPr="007C5340">
          <w:rPr>
            <w:rStyle w:val="Hipervnculo"/>
            <w:rFonts w:ascii="Times New Roman" w:hAnsi="Times New Roman" w:cs="Times New Roman"/>
          </w:rPr>
          <w:t>http://www.scielo.org.pe/scielo.php?script=sci_arttext&amp;pid=S2304-51322021000300005&amp;lang=en</w:t>
        </w:r>
      </w:hyperlink>
      <w:r w:rsidR="00E0754A" w:rsidRPr="007C5340">
        <w:rPr>
          <w:rFonts w:ascii="Times New Roman" w:hAnsi="Times New Roman" w:cs="Times New Roman"/>
          <w:color w:val="0070C0"/>
          <w:u w:val="single"/>
        </w:rPr>
        <w:t>.</w:t>
      </w:r>
    </w:p>
    <w:p w:rsidR="00E0754A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39312D" w:rsidRPr="007C5340">
        <w:rPr>
          <w:rFonts w:ascii="Times New Roman" w:hAnsi="Times New Roman" w:cs="Times New Roman"/>
        </w:rPr>
        <w:t xml:space="preserve">Ramirez Moran AF, Grave de Peralta RS, Brooks </w:t>
      </w:r>
      <w:r w:rsidR="00E0754A" w:rsidRPr="007C5340">
        <w:rPr>
          <w:rFonts w:ascii="Times New Roman" w:hAnsi="Times New Roman" w:cs="Times New Roman"/>
        </w:rPr>
        <w:t xml:space="preserve">Carballo G. Caracterización clínico-epidemiológica de la mujer infértil. </w:t>
      </w:r>
      <w:r w:rsidR="00E0754A" w:rsidRPr="007C5340">
        <w:rPr>
          <w:rFonts w:ascii="Times New Roman" w:hAnsi="Times New Roman" w:cs="Times New Roman"/>
          <w:lang w:val="fr-FR"/>
        </w:rPr>
        <w:t>AMC [</w:t>
      </w:r>
      <w:r w:rsidR="00C743B5">
        <w:rPr>
          <w:rFonts w:ascii="Times New Roman" w:hAnsi="Times New Roman" w:cs="Times New Roman"/>
          <w:lang w:val="fr-FR"/>
        </w:rPr>
        <w:t xml:space="preserve">revista en </w:t>
      </w:r>
      <w:r w:rsidR="00E0754A" w:rsidRPr="007C5340">
        <w:rPr>
          <w:rFonts w:ascii="Times New Roman" w:hAnsi="Times New Roman" w:cs="Times New Roman"/>
          <w:lang w:val="fr-FR"/>
        </w:rPr>
        <w:t>Int</w:t>
      </w:r>
      <w:r w:rsidR="0039312D" w:rsidRPr="007C5340">
        <w:rPr>
          <w:rFonts w:ascii="Times New Roman" w:hAnsi="Times New Roman" w:cs="Times New Roman"/>
          <w:lang w:val="fr-FR"/>
        </w:rPr>
        <w:t>ernet]. 2021</w:t>
      </w:r>
      <w:r w:rsidR="00E0754A" w:rsidRPr="007C5340">
        <w:rPr>
          <w:rFonts w:ascii="Times New Roman" w:hAnsi="Times New Roman" w:cs="Times New Roman"/>
          <w:lang w:val="fr-FR"/>
        </w:rPr>
        <w:t xml:space="preserve"> [</w:t>
      </w:r>
      <w:r w:rsidR="00C743B5">
        <w:rPr>
          <w:rFonts w:ascii="Times New Roman" w:hAnsi="Times New Roman" w:cs="Times New Roman"/>
          <w:lang w:val="fr-FR"/>
        </w:rPr>
        <w:t xml:space="preserve">citado 11 Dic </w:t>
      </w:r>
      <w:r w:rsidR="00E0754A" w:rsidRPr="007C5340">
        <w:rPr>
          <w:rFonts w:ascii="Times New Roman" w:hAnsi="Times New Roman" w:cs="Times New Roman"/>
          <w:lang w:val="fr-FR"/>
        </w:rPr>
        <w:t>2022</w:t>
      </w:r>
      <w:r w:rsidR="00F54EB6" w:rsidRPr="007C5340">
        <w:rPr>
          <w:rFonts w:ascii="Times New Roman" w:hAnsi="Times New Roman" w:cs="Times New Roman"/>
          <w:lang w:val="fr-FR"/>
        </w:rPr>
        <w:t>];25(3):</w:t>
      </w:r>
      <w:r w:rsidR="0039312D" w:rsidRPr="007C5340">
        <w:rPr>
          <w:rFonts w:ascii="Times New Roman" w:hAnsi="Times New Roman" w:cs="Times New Roman"/>
          <w:lang w:val="fr-FR"/>
        </w:rPr>
        <w:t>[aprox. 14</w:t>
      </w:r>
      <w:r w:rsidR="00E0754A" w:rsidRPr="007C5340">
        <w:rPr>
          <w:rFonts w:ascii="Times New Roman" w:hAnsi="Times New Roman" w:cs="Times New Roman"/>
          <w:lang w:val="fr-FR"/>
        </w:rPr>
        <w:t xml:space="preserve"> p.]. Disponible en:</w:t>
      </w:r>
      <w:r w:rsidR="00E0754A" w:rsidRPr="007C5340">
        <w:rPr>
          <w:rFonts w:ascii="Times New Roman" w:hAnsi="Times New Roman" w:cs="Times New Roman"/>
          <w:lang w:val="fr-FR"/>
        </w:rPr>
        <w:br/>
      </w:r>
      <w:hyperlink r:id="rId13" w:history="1">
        <w:r w:rsidR="003C4620" w:rsidRPr="007C5340">
          <w:rPr>
            <w:rStyle w:val="Hipervnculo"/>
            <w:rFonts w:ascii="Times New Roman" w:hAnsi="Times New Roman" w:cs="Times New Roman"/>
            <w:lang w:val="fr-FR"/>
          </w:rPr>
          <w:t>http://scielo.sld.cu/scielo.php?script=sci_arttext&amp;pid=S1025-02552021000300011&amp;lang=en</w:t>
        </w:r>
      </w:hyperlink>
      <w:r w:rsidR="00E0754A" w:rsidRPr="007C5340">
        <w:rPr>
          <w:rFonts w:ascii="Times New Roman" w:hAnsi="Times New Roman" w:cs="Times New Roman"/>
          <w:color w:val="0070C0"/>
          <w:u w:val="single"/>
          <w:lang w:val="fr-FR"/>
        </w:rPr>
        <w:t>.</w:t>
      </w:r>
    </w:p>
    <w:p w:rsidR="00E0754A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27700B" w:rsidRPr="00644B49">
        <w:rPr>
          <w:rFonts w:ascii="Times New Roman" w:hAnsi="Times New Roman" w:cs="Times New Roman"/>
        </w:rPr>
        <w:t xml:space="preserve">Rodríguez-Puga R, Pérez-Díaz Y, Vázquez-Rodríguez N, González-Ronquillo Y. Variables socio-epidemiológicas de la infertilidad femenina en la provincia Camagüey. </w:t>
      </w:r>
      <w:r w:rsidR="0027700B" w:rsidRPr="005958C0">
        <w:rPr>
          <w:rStyle w:val="Textoennegrita"/>
          <w:rFonts w:ascii="Times New Roman" w:hAnsi="Times New Roman" w:cs="Times New Roman"/>
          <w:b w:val="0"/>
        </w:rPr>
        <w:t>Revista Finlay</w:t>
      </w:r>
      <w:r w:rsidR="0027700B" w:rsidRPr="00644B49">
        <w:rPr>
          <w:rFonts w:ascii="Times New Roman" w:hAnsi="Times New Roman" w:cs="Times New Roman"/>
        </w:rPr>
        <w:t xml:space="preserve"> [revista en Internet]. 2023 [</w:t>
      </w:r>
      <w:r w:rsidR="0027700B">
        <w:rPr>
          <w:rFonts w:ascii="Times New Roman" w:hAnsi="Times New Roman" w:cs="Times New Roman"/>
        </w:rPr>
        <w:t>acceso 12/04/2024];13(2):e1224</w:t>
      </w:r>
      <w:r w:rsidR="0027700B" w:rsidRPr="00644B49">
        <w:rPr>
          <w:rFonts w:ascii="Times New Roman" w:hAnsi="Times New Roman" w:cs="Times New Roman"/>
        </w:rPr>
        <w:t xml:space="preserve">. Disponible en: </w:t>
      </w:r>
      <w:hyperlink r:id="rId14" w:history="1">
        <w:r w:rsidR="0027700B" w:rsidRPr="00644B49">
          <w:rPr>
            <w:rStyle w:val="Hipervnculo"/>
            <w:rFonts w:ascii="Times New Roman" w:hAnsi="Times New Roman" w:cs="Times New Roman"/>
          </w:rPr>
          <w:t>https://revfinlay.sld.cu/index.php/finlay/article/view/1224</w:t>
        </w:r>
      </w:hyperlink>
    </w:p>
    <w:p w:rsidR="001E0E3F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10. </w:t>
      </w:r>
      <w:r w:rsidR="000B76E9">
        <w:rPr>
          <w:rFonts w:ascii="Times New Roman" w:hAnsi="Times New Roman" w:cs="Times New Roman"/>
        </w:rPr>
        <w:t xml:space="preserve">Rodríguez Puga R. Nuevas directrices de la Declaración de Helsinki, impacto y ética en la investigación médica actual. Rev Cubana Oftalmol [Internet]. 2025 [citado 8 de enero de 2025];38. Disponible en: </w:t>
      </w:r>
      <w:hyperlink r:id="rId15" w:history="1">
        <w:r w:rsidR="000B76E9">
          <w:rPr>
            <w:rStyle w:val="Hipervnculo"/>
            <w:color w:val="0070C0"/>
          </w:rPr>
          <w:t>https://revoftalmologia.sld.cu/index.php/oftalmologia/article/view/2043</w:t>
        </w:r>
      </w:hyperlink>
      <w:bookmarkStart w:id="3" w:name="_GoBack"/>
      <w:bookmarkEnd w:id="3"/>
    </w:p>
    <w:p w:rsidR="008531E0" w:rsidRPr="00052E80" w:rsidRDefault="00052E80" w:rsidP="00052E80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B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s-BO"/>
        </w:rPr>
        <w:t xml:space="preserve">11. </w:t>
      </w:r>
      <w:r w:rsidR="008531E0" w:rsidRPr="00052E80">
        <w:rPr>
          <w:rFonts w:ascii="Times New Roman" w:hAnsi="Times New Roman"/>
          <w:color w:val="000000" w:themeColor="text1"/>
          <w:sz w:val="24"/>
          <w:szCs w:val="24"/>
          <w:lang w:val="es-BO"/>
        </w:rPr>
        <w:t>Furman I, Ventura Ch. Calidad de vida de parejas infértiles en el sector público de Chile. Rev.</w:t>
      </w:r>
      <w:r>
        <w:rPr>
          <w:rFonts w:ascii="Times New Roman" w:hAnsi="Times New Roman"/>
          <w:color w:val="000000" w:themeColor="text1"/>
          <w:sz w:val="24"/>
          <w:szCs w:val="24"/>
          <w:lang w:val="es-BO"/>
        </w:rPr>
        <w:t xml:space="preserve"> </w:t>
      </w:r>
      <w:r w:rsidR="00E6615C">
        <w:rPr>
          <w:rFonts w:ascii="Times New Roman" w:hAnsi="Times New Roman"/>
          <w:color w:val="000000" w:themeColor="text1"/>
          <w:sz w:val="24"/>
          <w:szCs w:val="24"/>
          <w:lang w:val="es-BO"/>
        </w:rPr>
        <w:t>Méd. Chile</w:t>
      </w:r>
      <w:r w:rsidR="008531E0" w:rsidRPr="00052E80">
        <w:rPr>
          <w:rFonts w:ascii="Times New Roman" w:hAnsi="Times New Roman"/>
          <w:color w:val="000000" w:themeColor="text1"/>
          <w:sz w:val="24"/>
          <w:szCs w:val="24"/>
          <w:lang w:val="es-BO"/>
        </w:rPr>
        <w:t xml:space="preserve"> [</w:t>
      </w:r>
      <w:r w:rsidR="00E6615C">
        <w:rPr>
          <w:rFonts w:ascii="Times New Roman" w:hAnsi="Times New Roman"/>
          <w:color w:val="000000" w:themeColor="text1"/>
          <w:sz w:val="24"/>
          <w:szCs w:val="24"/>
          <w:lang w:val="es-BO"/>
        </w:rPr>
        <w:t xml:space="preserve">revista en </w:t>
      </w:r>
      <w:r w:rsidR="008531E0" w:rsidRPr="00052E80">
        <w:rPr>
          <w:rFonts w:ascii="Times New Roman" w:hAnsi="Times New Roman"/>
          <w:color w:val="000000" w:themeColor="text1"/>
          <w:sz w:val="24"/>
          <w:szCs w:val="24"/>
          <w:lang w:val="es-BO"/>
        </w:rPr>
        <w:t>Internet]. 20</w:t>
      </w:r>
      <w:r w:rsidR="00E6615C">
        <w:rPr>
          <w:rFonts w:ascii="Times New Roman" w:hAnsi="Times New Roman"/>
          <w:color w:val="000000" w:themeColor="text1"/>
          <w:sz w:val="24"/>
          <w:szCs w:val="24"/>
          <w:lang w:val="es-BO"/>
        </w:rPr>
        <w:t xml:space="preserve">17 [citado 11 Dic </w:t>
      </w:r>
      <w:r w:rsidR="008531E0" w:rsidRPr="00052E80">
        <w:rPr>
          <w:rFonts w:ascii="Times New Roman" w:hAnsi="Times New Roman"/>
          <w:color w:val="000000" w:themeColor="text1"/>
          <w:sz w:val="24"/>
          <w:szCs w:val="24"/>
          <w:lang w:val="es-BO"/>
        </w:rPr>
        <w:t xml:space="preserve">2022];145(11):1378-86. Disponible en: </w:t>
      </w:r>
      <w:hyperlink r:id="rId16" w:history="1">
        <w:r w:rsidR="008531E0" w:rsidRPr="00052E80">
          <w:rPr>
            <w:rStyle w:val="Hipervnculo"/>
            <w:rFonts w:ascii="Times New Roman" w:hAnsi="Times New Roman"/>
            <w:color w:val="0070C0"/>
            <w:sz w:val="24"/>
            <w:szCs w:val="24"/>
            <w:lang w:val="es-BO"/>
          </w:rPr>
          <w:t>http://scielo.cl/scielo.php?script=sci_arttext&amp;pid=S0034-98872017001101378&amp;Ing=es</w:t>
        </w:r>
      </w:hyperlink>
      <w:r w:rsidR="008531E0" w:rsidRPr="00052E80">
        <w:rPr>
          <w:rFonts w:ascii="Times New Roman" w:hAnsi="Times New Roman"/>
          <w:color w:val="0070C0"/>
          <w:sz w:val="24"/>
          <w:szCs w:val="24"/>
          <w:u w:val="single"/>
          <w:lang w:val="es-BO"/>
        </w:rPr>
        <w:t>.</w:t>
      </w:r>
      <w:r w:rsidR="008531E0" w:rsidRPr="00052E80">
        <w:rPr>
          <w:rFonts w:ascii="Times New Roman" w:hAnsi="Times New Roman"/>
          <w:color w:val="000000" w:themeColor="text1"/>
          <w:sz w:val="24"/>
          <w:szCs w:val="24"/>
          <w:lang w:val="es-BO"/>
        </w:rPr>
        <w:t xml:space="preserve"> </w:t>
      </w:r>
    </w:p>
    <w:p w:rsidR="008531E0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s-BO"/>
        </w:rPr>
      </w:pPr>
      <w:r>
        <w:rPr>
          <w:rFonts w:ascii="Times New Roman" w:hAnsi="Times New Roman" w:cs="Times New Roman"/>
          <w:color w:val="000000" w:themeColor="text1"/>
          <w:lang w:val="es-BO"/>
        </w:rPr>
        <w:t xml:space="preserve">12. </w:t>
      </w:r>
      <w:r w:rsidR="008531E0" w:rsidRPr="007C5340">
        <w:rPr>
          <w:rFonts w:ascii="Times New Roman" w:hAnsi="Times New Roman" w:cs="Times New Roman"/>
          <w:color w:val="000000" w:themeColor="text1"/>
        </w:rPr>
        <w:t>Torres Pérez M, Ortíz Labrada YM, Pérez Rodríguez M, Pérez Rodríguez M, Torres Pérez M. Principales causas de infertilidad en parejas atendidas en consulta municipal, Policlínico Guillermo Tejas S</w:t>
      </w:r>
      <w:r w:rsidR="00D431CF">
        <w:rPr>
          <w:rFonts w:ascii="Times New Roman" w:hAnsi="Times New Roman" w:cs="Times New Roman"/>
          <w:color w:val="000000" w:themeColor="text1"/>
        </w:rPr>
        <w:t>ilva de Las Tunas. Rev. Eug Esp</w:t>
      </w:r>
      <w:r w:rsidR="008531E0" w:rsidRPr="007C5340">
        <w:rPr>
          <w:rFonts w:ascii="Times New Roman" w:hAnsi="Times New Roman" w:cs="Times New Roman"/>
          <w:color w:val="000000" w:themeColor="text1"/>
        </w:rPr>
        <w:t xml:space="preserve"> [</w:t>
      </w:r>
      <w:r w:rsidR="00F63978">
        <w:rPr>
          <w:rFonts w:ascii="Times New Roman" w:hAnsi="Times New Roman" w:cs="Times New Roman"/>
          <w:color w:val="000000" w:themeColor="text1"/>
        </w:rPr>
        <w:t xml:space="preserve">revista en </w:t>
      </w:r>
      <w:r w:rsidR="008531E0" w:rsidRPr="007C5340">
        <w:rPr>
          <w:rFonts w:ascii="Times New Roman" w:hAnsi="Times New Roman" w:cs="Times New Roman"/>
          <w:color w:val="000000" w:themeColor="text1"/>
        </w:rPr>
        <w:t xml:space="preserve">Internet]. 2021 </w:t>
      </w:r>
      <w:r w:rsidR="00F63978">
        <w:rPr>
          <w:rFonts w:ascii="Times New Roman" w:hAnsi="Times New Roman" w:cs="Times New Roman"/>
          <w:color w:val="000000" w:themeColor="text1"/>
        </w:rPr>
        <w:t xml:space="preserve">[citado 11 Dic </w:t>
      </w:r>
      <w:r w:rsidR="008531E0" w:rsidRPr="007C5340">
        <w:rPr>
          <w:rFonts w:ascii="Times New Roman" w:hAnsi="Times New Roman" w:cs="Times New Roman"/>
          <w:color w:val="000000" w:themeColor="text1"/>
        </w:rPr>
        <w:t xml:space="preserve">2022];15(1):30-42. 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 xml:space="preserve">Disponible en: </w:t>
      </w:r>
      <w:hyperlink r:id="rId17" w:history="1">
        <w:r w:rsidR="008531E0" w:rsidRPr="007C5340">
          <w:rPr>
            <w:rStyle w:val="Hipervnculo"/>
            <w:rFonts w:ascii="Times New Roman" w:hAnsi="Times New Roman" w:cs="Times New Roman"/>
            <w:color w:val="0070C0"/>
            <w:lang w:val="es-BO"/>
          </w:rPr>
          <w:t>http://scielo.senescyt.gob.ec/scielo.php?script=sci_arttext&amp;pid=S2661-67422021000100030&amp;Ing=es</w:t>
        </w:r>
      </w:hyperlink>
      <w:r w:rsidR="008531E0" w:rsidRPr="007C5340">
        <w:rPr>
          <w:rFonts w:ascii="Times New Roman" w:hAnsi="Times New Roman" w:cs="Times New Roman"/>
          <w:color w:val="0070C0"/>
          <w:u w:val="single"/>
          <w:lang w:val="es-BO"/>
        </w:rPr>
        <w:t>.</w:t>
      </w:r>
    </w:p>
    <w:p w:rsidR="008531E0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s-BO"/>
        </w:rPr>
      </w:pPr>
      <w:r>
        <w:rPr>
          <w:rFonts w:ascii="Times New Roman" w:hAnsi="Times New Roman" w:cs="Times New Roman"/>
          <w:color w:val="000000" w:themeColor="text1"/>
          <w:lang w:val="es-BO"/>
        </w:rPr>
        <w:t xml:space="preserve">13. 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>Rodrigo Andrea A, Domingo del Pozo J, Salvador Z. Influencia del estilo de vida en la fertilidad y reproducción asis</w:t>
      </w:r>
      <w:r w:rsidR="008A49A6">
        <w:rPr>
          <w:rFonts w:ascii="Times New Roman" w:hAnsi="Times New Roman" w:cs="Times New Roman"/>
          <w:color w:val="000000" w:themeColor="text1"/>
          <w:lang w:val="es-BO"/>
        </w:rPr>
        <w:t>tida. Reproducción asistida ORG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 xml:space="preserve"> [</w:t>
      </w:r>
      <w:r w:rsidR="008A49A6">
        <w:rPr>
          <w:rFonts w:ascii="Times New Roman" w:hAnsi="Times New Roman" w:cs="Times New Roman"/>
          <w:color w:val="000000" w:themeColor="text1"/>
          <w:lang w:val="es-BO"/>
        </w:rPr>
        <w:t xml:space="preserve">revisa en 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>Internet].</w:t>
      </w:r>
      <w:r w:rsidR="008A49A6">
        <w:rPr>
          <w:rFonts w:ascii="Times New Roman" w:hAnsi="Times New Roman" w:cs="Times New Roman"/>
          <w:color w:val="000000" w:themeColor="text1"/>
          <w:lang w:val="es-BO"/>
        </w:rPr>
        <w:t xml:space="preserve"> 2018 [citado 11 Dic </w:t>
      </w:r>
      <w:r w:rsidR="00F54EB6" w:rsidRPr="007C5340">
        <w:rPr>
          <w:rFonts w:ascii="Times New Roman" w:hAnsi="Times New Roman" w:cs="Times New Roman"/>
          <w:color w:val="000000" w:themeColor="text1"/>
          <w:lang w:val="es-BO"/>
        </w:rPr>
        <w:t>2022];1(2):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 xml:space="preserve">[aprox. 6 p.]. Disponible en: </w:t>
      </w:r>
      <w:hyperlink r:id="rId18" w:history="1">
        <w:r w:rsidR="008531E0" w:rsidRPr="007C5340">
          <w:rPr>
            <w:rStyle w:val="Hipervnculo"/>
            <w:rFonts w:ascii="Times New Roman" w:hAnsi="Times New Roman" w:cs="Times New Roman"/>
            <w:color w:val="0070C0"/>
            <w:lang w:val="es-BO"/>
          </w:rPr>
          <w:t>https://www.google.com/amp/s/www.reproduccionasistida.org/estilo-de-vida-fertilidad-reproduccion-asistida-embarazo/amp/</w:t>
        </w:r>
      </w:hyperlink>
    </w:p>
    <w:p w:rsidR="008531E0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es-BO"/>
        </w:rPr>
        <w:t xml:space="preserve">14. </w:t>
      </w:r>
      <w:r w:rsidR="008531E0" w:rsidRPr="007C5340">
        <w:rPr>
          <w:rFonts w:ascii="Times New Roman" w:hAnsi="Times New Roman" w:cs="Times New Roman"/>
          <w:color w:val="000000" w:themeColor="text1"/>
        </w:rPr>
        <w:t xml:space="preserve">Den Heijer CDJ, Hoebe CJPA, Driessen JHM, Wolffs P, van den Broek IVF, Hoenderboom BM, et al. </w:t>
      </w:r>
      <w:r w:rsidR="008531E0" w:rsidRPr="007C5340">
        <w:rPr>
          <w:rFonts w:ascii="Times New Roman" w:hAnsi="Times New Roman" w:cs="Times New Roman"/>
          <w:color w:val="000000" w:themeColor="text1"/>
          <w:lang w:val="en-US"/>
        </w:rPr>
        <w:t xml:space="preserve">Chlamydia trachomatis and the Risk of Pelvic Inflammatory Disease, Ectopic Pregnancy, and Female Infertility: A Retrospective Cohort Study Among Primary Care Patients. </w:t>
      </w:r>
      <w:r w:rsidR="008531E0" w:rsidRPr="007C5340">
        <w:rPr>
          <w:rFonts w:ascii="Times New Roman" w:hAnsi="Times New Roman" w:cs="Times New Roman"/>
          <w:color w:val="000000" w:themeColor="text1"/>
          <w:lang w:val="fr-FR"/>
        </w:rPr>
        <w:t>Clin Infect Dis [</w:t>
      </w:r>
      <w:r w:rsidR="0088132E">
        <w:rPr>
          <w:rFonts w:ascii="Times New Roman" w:hAnsi="Times New Roman" w:cs="Times New Roman"/>
          <w:color w:val="000000" w:themeColor="text1"/>
          <w:lang w:val="fr-FR"/>
        </w:rPr>
        <w:t xml:space="preserve">revista en </w:t>
      </w:r>
      <w:r w:rsidR="008531E0" w:rsidRPr="007C5340">
        <w:rPr>
          <w:rFonts w:ascii="Times New Roman" w:hAnsi="Times New Roman" w:cs="Times New Roman"/>
          <w:color w:val="000000" w:themeColor="text1"/>
          <w:lang w:val="fr-FR"/>
        </w:rPr>
        <w:t xml:space="preserve">Internet]. 2019 </w:t>
      </w:r>
      <w:r w:rsidR="0088132E">
        <w:rPr>
          <w:rFonts w:ascii="Times New Roman" w:hAnsi="Times New Roman" w:cs="Times New Roman"/>
          <w:color w:val="000000" w:themeColor="text1"/>
          <w:lang w:val="fr-FR"/>
        </w:rPr>
        <w:t xml:space="preserve">[citado 11 Dic </w:t>
      </w:r>
      <w:r w:rsidR="00F41F56" w:rsidRPr="007C5340">
        <w:rPr>
          <w:rFonts w:ascii="Times New Roman" w:hAnsi="Times New Roman" w:cs="Times New Roman"/>
          <w:color w:val="000000" w:themeColor="text1"/>
          <w:lang w:val="fr-FR"/>
        </w:rPr>
        <w:t>2022];69(9):</w:t>
      </w:r>
      <w:r w:rsidR="008531E0" w:rsidRPr="007C5340">
        <w:rPr>
          <w:rFonts w:ascii="Times New Roman" w:hAnsi="Times New Roman" w:cs="Times New Roman"/>
          <w:color w:val="000000" w:themeColor="text1"/>
          <w:lang w:val="fr-FR"/>
        </w:rPr>
        <w:t>[aprox. 22 p.]. Disponible en:</w:t>
      </w:r>
      <w:r w:rsidR="008531E0" w:rsidRPr="007C5340">
        <w:rPr>
          <w:rFonts w:ascii="Times New Roman" w:hAnsi="Times New Roman" w:cs="Times New Roman"/>
          <w:color w:val="000000" w:themeColor="text1"/>
          <w:lang w:val="fr-FR"/>
        </w:rPr>
        <w:br/>
      </w:r>
      <w:hyperlink r:id="rId19" w:history="1">
        <w:r w:rsidR="008531E0" w:rsidRPr="007C5340">
          <w:rPr>
            <w:rStyle w:val="Hipervnculo"/>
            <w:rFonts w:ascii="Times New Roman" w:hAnsi="Times New Roman" w:cs="Times New Roman"/>
            <w:color w:val="0070C0"/>
            <w:lang w:val="fr-FR"/>
          </w:rPr>
          <w:t>https://www.ncbi.nlm.nih.gov/pmc/articles/PMC6792126/</w:t>
        </w:r>
      </w:hyperlink>
    </w:p>
    <w:p w:rsidR="00F101AD" w:rsidRPr="007C5340" w:rsidRDefault="00052E80" w:rsidP="00052E80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es-BO"/>
        </w:rPr>
      </w:pPr>
      <w:r>
        <w:rPr>
          <w:rFonts w:ascii="Times New Roman" w:hAnsi="Times New Roman" w:cs="Times New Roman"/>
          <w:color w:val="000000" w:themeColor="text1"/>
          <w:lang w:val="es-BO"/>
        </w:rPr>
        <w:lastRenderedPageBreak/>
        <w:t xml:space="preserve">15. 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>Llaguno Concha AA. Factores socioepidemiológicos y clínicos presentes en mujeres atendidas en consulta de infertilidad. Revista Cuba</w:t>
      </w:r>
      <w:r w:rsidR="007404E7">
        <w:rPr>
          <w:rFonts w:ascii="Times New Roman" w:hAnsi="Times New Roman" w:cs="Times New Roman"/>
          <w:color w:val="000000" w:themeColor="text1"/>
          <w:lang w:val="es-BO"/>
        </w:rPr>
        <w:t>na de Obstetricia y Ginecología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 xml:space="preserve"> [</w:t>
      </w:r>
      <w:r w:rsidR="007404E7">
        <w:rPr>
          <w:rFonts w:ascii="Times New Roman" w:hAnsi="Times New Roman" w:cs="Times New Roman"/>
          <w:color w:val="000000" w:themeColor="text1"/>
          <w:lang w:val="es-BO"/>
        </w:rPr>
        <w:t xml:space="preserve">revista en 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 xml:space="preserve">Internet]. </w:t>
      </w:r>
      <w:r w:rsidR="007404E7">
        <w:rPr>
          <w:rFonts w:ascii="Times New Roman" w:hAnsi="Times New Roman" w:cs="Times New Roman"/>
          <w:color w:val="000000" w:themeColor="text1"/>
          <w:lang w:val="es-BO"/>
        </w:rPr>
        <w:t xml:space="preserve">2015 [citado 11 Dic </w:t>
      </w:r>
      <w:r w:rsidR="00F41F56" w:rsidRPr="007C5340">
        <w:rPr>
          <w:rFonts w:ascii="Times New Roman" w:hAnsi="Times New Roman" w:cs="Times New Roman"/>
          <w:color w:val="000000" w:themeColor="text1"/>
          <w:lang w:val="es-BO"/>
        </w:rPr>
        <w:t>2022];41(4):</w:t>
      </w:r>
      <w:r w:rsidR="008531E0" w:rsidRPr="007C5340">
        <w:rPr>
          <w:rFonts w:ascii="Times New Roman" w:hAnsi="Times New Roman" w:cs="Times New Roman"/>
          <w:color w:val="000000" w:themeColor="text1"/>
          <w:lang w:val="es-BO"/>
        </w:rPr>
        <w:t xml:space="preserve">[aprox. 16 p.]. Disponible en: </w:t>
      </w:r>
      <w:hyperlink r:id="rId20" w:history="1">
        <w:r w:rsidR="008531E0" w:rsidRPr="007C5340">
          <w:rPr>
            <w:rStyle w:val="Hipervnculo"/>
            <w:rFonts w:ascii="Times New Roman" w:hAnsi="Times New Roman" w:cs="Times New Roman"/>
            <w:color w:val="0070C0"/>
            <w:lang w:val="es-BO"/>
          </w:rPr>
          <w:t>http://www.revginecobstetricia.sld.cu/index.php/gin/article/view/6</w:t>
        </w:r>
      </w:hyperlink>
    </w:p>
    <w:p w:rsidR="00F41F56" w:rsidRPr="007C5340" w:rsidRDefault="00F41F56" w:rsidP="00657D3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7D1603" w:rsidRPr="007C5340" w:rsidRDefault="007D1603" w:rsidP="00465AD6">
      <w:pPr>
        <w:spacing w:line="360" w:lineRule="auto"/>
        <w:jc w:val="both"/>
        <w:rPr>
          <w:rFonts w:ascii="Times New Roman" w:hAnsi="Times New Roman"/>
          <w:sz w:val="24"/>
          <w:szCs w:val="24"/>
          <w:lang w:val="es-BO"/>
        </w:rPr>
      </w:pPr>
    </w:p>
    <w:p w:rsidR="007D1603" w:rsidRPr="007C5340" w:rsidRDefault="007D1603" w:rsidP="006524ED">
      <w:pPr>
        <w:spacing w:line="360" w:lineRule="auto"/>
        <w:jc w:val="both"/>
        <w:rPr>
          <w:rFonts w:ascii="Times New Roman" w:hAnsi="Times New Roman"/>
          <w:sz w:val="24"/>
          <w:szCs w:val="24"/>
          <w:lang w:val="es-BO"/>
        </w:rPr>
      </w:pPr>
    </w:p>
    <w:sectPr w:rsidR="007D1603" w:rsidRPr="007C5340" w:rsidSect="00D649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96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69D00F2F"/>
    <w:multiLevelType w:val="hybridMultilevel"/>
    <w:tmpl w:val="0EF2B63C"/>
    <w:lvl w:ilvl="0" w:tplc="AB7682DA">
      <w:start w:val="1"/>
      <w:numFmt w:val="bullet"/>
      <w:pStyle w:val="Estilo1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A1F26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8537C"/>
    <w:rsid w:val="0000016D"/>
    <w:rsid w:val="00003DF3"/>
    <w:rsid w:val="00005643"/>
    <w:rsid w:val="00015093"/>
    <w:rsid w:val="00016BA7"/>
    <w:rsid w:val="0002020F"/>
    <w:rsid w:val="0002461B"/>
    <w:rsid w:val="0003116F"/>
    <w:rsid w:val="000318B9"/>
    <w:rsid w:val="000323DD"/>
    <w:rsid w:val="00034670"/>
    <w:rsid w:val="00034AEF"/>
    <w:rsid w:val="00036814"/>
    <w:rsid w:val="00036EF2"/>
    <w:rsid w:val="000371CE"/>
    <w:rsid w:val="0004210F"/>
    <w:rsid w:val="00052256"/>
    <w:rsid w:val="00052E80"/>
    <w:rsid w:val="00060643"/>
    <w:rsid w:val="00061611"/>
    <w:rsid w:val="000620B9"/>
    <w:rsid w:val="00070B25"/>
    <w:rsid w:val="00072A08"/>
    <w:rsid w:val="00077CBD"/>
    <w:rsid w:val="0008029B"/>
    <w:rsid w:val="00081A2A"/>
    <w:rsid w:val="00082CF8"/>
    <w:rsid w:val="00085329"/>
    <w:rsid w:val="00086CC1"/>
    <w:rsid w:val="00087BA2"/>
    <w:rsid w:val="00097619"/>
    <w:rsid w:val="000A19EE"/>
    <w:rsid w:val="000A31BF"/>
    <w:rsid w:val="000B5699"/>
    <w:rsid w:val="000B76E9"/>
    <w:rsid w:val="000C325C"/>
    <w:rsid w:val="000C42D0"/>
    <w:rsid w:val="000C6617"/>
    <w:rsid w:val="000D0A37"/>
    <w:rsid w:val="000D143F"/>
    <w:rsid w:val="000D329A"/>
    <w:rsid w:val="000D47D4"/>
    <w:rsid w:val="000D5E5E"/>
    <w:rsid w:val="000D5F48"/>
    <w:rsid w:val="000E41B2"/>
    <w:rsid w:val="000E5A26"/>
    <w:rsid w:val="000E5C23"/>
    <w:rsid w:val="000E5F91"/>
    <w:rsid w:val="000E74D1"/>
    <w:rsid w:val="000E7528"/>
    <w:rsid w:val="000F0659"/>
    <w:rsid w:val="000F2E39"/>
    <w:rsid w:val="000F79A1"/>
    <w:rsid w:val="00103B51"/>
    <w:rsid w:val="00114C05"/>
    <w:rsid w:val="001203F4"/>
    <w:rsid w:val="00120EEC"/>
    <w:rsid w:val="0013074C"/>
    <w:rsid w:val="00131631"/>
    <w:rsid w:val="001348E2"/>
    <w:rsid w:val="001349E5"/>
    <w:rsid w:val="0013626D"/>
    <w:rsid w:val="00140FA4"/>
    <w:rsid w:val="00142533"/>
    <w:rsid w:val="00144465"/>
    <w:rsid w:val="001457CB"/>
    <w:rsid w:val="001475F5"/>
    <w:rsid w:val="00153AB0"/>
    <w:rsid w:val="001544A3"/>
    <w:rsid w:val="00156596"/>
    <w:rsid w:val="00163A8E"/>
    <w:rsid w:val="00163CA4"/>
    <w:rsid w:val="00166487"/>
    <w:rsid w:val="00171E88"/>
    <w:rsid w:val="00175FE1"/>
    <w:rsid w:val="00176BB3"/>
    <w:rsid w:val="00181ED5"/>
    <w:rsid w:val="00182499"/>
    <w:rsid w:val="00184877"/>
    <w:rsid w:val="00192239"/>
    <w:rsid w:val="001965BB"/>
    <w:rsid w:val="001A0379"/>
    <w:rsid w:val="001B1B87"/>
    <w:rsid w:val="001B63A5"/>
    <w:rsid w:val="001C50B5"/>
    <w:rsid w:val="001C5877"/>
    <w:rsid w:val="001C677A"/>
    <w:rsid w:val="001D4FE9"/>
    <w:rsid w:val="001D61B0"/>
    <w:rsid w:val="001E0E3F"/>
    <w:rsid w:val="002001F2"/>
    <w:rsid w:val="002001FA"/>
    <w:rsid w:val="00200E8E"/>
    <w:rsid w:val="0020335D"/>
    <w:rsid w:val="00210C15"/>
    <w:rsid w:val="00211C2A"/>
    <w:rsid w:val="002228E1"/>
    <w:rsid w:val="00222E59"/>
    <w:rsid w:val="00227521"/>
    <w:rsid w:val="00234B6D"/>
    <w:rsid w:val="00234FDE"/>
    <w:rsid w:val="00246CED"/>
    <w:rsid w:val="00252E9B"/>
    <w:rsid w:val="00265433"/>
    <w:rsid w:val="002713A4"/>
    <w:rsid w:val="00274713"/>
    <w:rsid w:val="00274C96"/>
    <w:rsid w:val="0027700B"/>
    <w:rsid w:val="0027767F"/>
    <w:rsid w:val="00291D4A"/>
    <w:rsid w:val="00292327"/>
    <w:rsid w:val="00294636"/>
    <w:rsid w:val="002966E8"/>
    <w:rsid w:val="00296D7B"/>
    <w:rsid w:val="002978FA"/>
    <w:rsid w:val="002A4D06"/>
    <w:rsid w:val="002A7C1B"/>
    <w:rsid w:val="002B0525"/>
    <w:rsid w:val="002B0C45"/>
    <w:rsid w:val="002B2274"/>
    <w:rsid w:val="002B4219"/>
    <w:rsid w:val="002B4CF3"/>
    <w:rsid w:val="002B6B5C"/>
    <w:rsid w:val="002B7660"/>
    <w:rsid w:val="002C4CF8"/>
    <w:rsid w:val="002C6083"/>
    <w:rsid w:val="002C6641"/>
    <w:rsid w:val="002D2783"/>
    <w:rsid w:val="002D4A21"/>
    <w:rsid w:val="002E0971"/>
    <w:rsid w:val="002E65C1"/>
    <w:rsid w:val="002F1BF5"/>
    <w:rsid w:val="002F4A91"/>
    <w:rsid w:val="00302407"/>
    <w:rsid w:val="00303828"/>
    <w:rsid w:val="00306FCC"/>
    <w:rsid w:val="00312BC1"/>
    <w:rsid w:val="00312C26"/>
    <w:rsid w:val="00317EC8"/>
    <w:rsid w:val="003209BB"/>
    <w:rsid w:val="0032123B"/>
    <w:rsid w:val="00322D61"/>
    <w:rsid w:val="0032395A"/>
    <w:rsid w:val="00324798"/>
    <w:rsid w:val="0033324C"/>
    <w:rsid w:val="003359E2"/>
    <w:rsid w:val="00342F94"/>
    <w:rsid w:val="00346F0A"/>
    <w:rsid w:val="0035155B"/>
    <w:rsid w:val="00355286"/>
    <w:rsid w:val="00357E6F"/>
    <w:rsid w:val="00360F18"/>
    <w:rsid w:val="00362FD3"/>
    <w:rsid w:val="0036423D"/>
    <w:rsid w:val="003659BB"/>
    <w:rsid w:val="003802FE"/>
    <w:rsid w:val="00382F04"/>
    <w:rsid w:val="003929E7"/>
    <w:rsid w:val="0039312D"/>
    <w:rsid w:val="00393DF2"/>
    <w:rsid w:val="00393F00"/>
    <w:rsid w:val="003956A7"/>
    <w:rsid w:val="003A0E88"/>
    <w:rsid w:val="003A1D23"/>
    <w:rsid w:val="003A2115"/>
    <w:rsid w:val="003A493F"/>
    <w:rsid w:val="003A718F"/>
    <w:rsid w:val="003B0D66"/>
    <w:rsid w:val="003B1C7A"/>
    <w:rsid w:val="003B6644"/>
    <w:rsid w:val="003C2893"/>
    <w:rsid w:val="003C3C22"/>
    <w:rsid w:val="003C4620"/>
    <w:rsid w:val="003C56FE"/>
    <w:rsid w:val="003E0F1A"/>
    <w:rsid w:val="003E3094"/>
    <w:rsid w:val="003E49EF"/>
    <w:rsid w:val="003E5767"/>
    <w:rsid w:val="003F0384"/>
    <w:rsid w:val="004004D3"/>
    <w:rsid w:val="00405C0C"/>
    <w:rsid w:val="004223E3"/>
    <w:rsid w:val="00422DA0"/>
    <w:rsid w:val="004260A3"/>
    <w:rsid w:val="0043005D"/>
    <w:rsid w:val="00433633"/>
    <w:rsid w:val="004361F9"/>
    <w:rsid w:val="00443DA4"/>
    <w:rsid w:val="00444B1B"/>
    <w:rsid w:val="00451664"/>
    <w:rsid w:val="004542E3"/>
    <w:rsid w:val="0045471E"/>
    <w:rsid w:val="004635F7"/>
    <w:rsid w:val="00463CB3"/>
    <w:rsid w:val="00463F4D"/>
    <w:rsid w:val="00464E0E"/>
    <w:rsid w:val="00465AD6"/>
    <w:rsid w:val="004735F9"/>
    <w:rsid w:val="0047660C"/>
    <w:rsid w:val="00484AE9"/>
    <w:rsid w:val="00486C80"/>
    <w:rsid w:val="00490F4F"/>
    <w:rsid w:val="00491199"/>
    <w:rsid w:val="0049334F"/>
    <w:rsid w:val="0049370A"/>
    <w:rsid w:val="0049462C"/>
    <w:rsid w:val="004A2401"/>
    <w:rsid w:val="004A5DD8"/>
    <w:rsid w:val="004B59F8"/>
    <w:rsid w:val="004D0FF8"/>
    <w:rsid w:val="004D110D"/>
    <w:rsid w:val="004D4710"/>
    <w:rsid w:val="004D49C1"/>
    <w:rsid w:val="004E1B8F"/>
    <w:rsid w:val="004E28DE"/>
    <w:rsid w:val="004F0C73"/>
    <w:rsid w:val="004F31DF"/>
    <w:rsid w:val="00500417"/>
    <w:rsid w:val="00501E93"/>
    <w:rsid w:val="005049B3"/>
    <w:rsid w:val="0051397F"/>
    <w:rsid w:val="005163DB"/>
    <w:rsid w:val="0052691B"/>
    <w:rsid w:val="005271B5"/>
    <w:rsid w:val="00540596"/>
    <w:rsid w:val="00543166"/>
    <w:rsid w:val="00547D3D"/>
    <w:rsid w:val="0055029B"/>
    <w:rsid w:val="00556345"/>
    <w:rsid w:val="00565F58"/>
    <w:rsid w:val="00566568"/>
    <w:rsid w:val="00567026"/>
    <w:rsid w:val="00577FDD"/>
    <w:rsid w:val="00590B79"/>
    <w:rsid w:val="005912A8"/>
    <w:rsid w:val="0059547F"/>
    <w:rsid w:val="00595AA1"/>
    <w:rsid w:val="0059774C"/>
    <w:rsid w:val="005A085F"/>
    <w:rsid w:val="005A12BE"/>
    <w:rsid w:val="005C09C5"/>
    <w:rsid w:val="005C6D79"/>
    <w:rsid w:val="005D23C8"/>
    <w:rsid w:val="005D45C9"/>
    <w:rsid w:val="005D4FB7"/>
    <w:rsid w:val="005D7DC7"/>
    <w:rsid w:val="005E0859"/>
    <w:rsid w:val="005E09CD"/>
    <w:rsid w:val="005E65D0"/>
    <w:rsid w:val="005F0874"/>
    <w:rsid w:val="005F460A"/>
    <w:rsid w:val="00600D60"/>
    <w:rsid w:val="00601D3F"/>
    <w:rsid w:val="00610E49"/>
    <w:rsid w:val="006122A0"/>
    <w:rsid w:val="006206BF"/>
    <w:rsid w:val="00622157"/>
    <w:rsid w:val="00622A6A"/>
    <w:rsid w:val="006244DA"/>
    <w:rsid w:val="0062711B"/>
    <w:rsid w:val="00630376"/>
    <w:rsid w:val="006316DF"/>
    <w:rsid w:val="00631762"/>
    <w:rsid w:val="006348AC"/>
    <w:rsid w:val="0063508B"/>
    <w:rsid w:val="00636113"/>
    <w:rsid w:val="0063779F"/>
    <w:rsid w:val="00640481"/>
    <w:rsid w:val="0064461A"/>
    <w:rsid w:val="006524ED"/>
    <w:rsid w:val="00652EB9"/>
    <w:rsid w:val="006546CD"/>
    <w:rsid w:val="006548F6"/>
    <w:rsid w:val="00656541"/>
    <w:rsid w:val="00657D3A"/>
    <w:rsid w:val="006605FE"/>
    <w:rsid w:val="00661941"/>
    <w:rsid w:val="00664C1A"/>
    <w:rsid w:val="00666B5B"/>
    <w:rsid w:val="006672C2"/>
    <w:rsid w:val="006732E8"/>
    <w:rsid w:val="006775A9"/>
    <w:rsid w:val="00686D94"/>
    <w:rsid w:val="00693D6A"/>
    <w:rsid w:val="0069787A"/>
    <w:rsid w:val="006A1327"/>
    <w:rsid w:val="006A162F"/>
    <w:rsid w:val="006A1E83"/>
    <w:rsid w:val="006B13F2"/>
    <w:rsid w:val="006B1A6F"/>
    <w:rsid w:val="006B5A58"/>
    <w:rsid w:val="006C67B6"/>
    <w:rsid w:val="006D3FFB"/>
    <w:rsid w:val="006D6DC6"/>
    <w:rsid w:val="006E0180"/>
    <w:rsid w:val="006E0F8B"/>
    <w:rsid w:val="006E2547"/>
    <w:rsid w:val="006E4ED0"/>
    <w:rsid w:val="006E5FA8"/>
    <w:rsid w:val="006F71B0"/>
    <w:rsid w:val="006F776B"/>
    <w:rsid w:val="00702BA2"/>
    <w:rsid w:val="007102C9"/>
    <w:rsid w:val="00723A87"/>
    <w:rsid w:val="007247D4"/>
    <w:rsid w:val="00724E1B"/>
    <w:rsid w:val="00726898"/>
    <w:rsid w:val="007347F4"/>
    <w:rsid w:val="00736671"/>
    <w:rsid w:val="007404E7"/>
    <w:rsid w:val="00740A7F"/>
    <w:rsid w:val="0074138A"/>
    <w:rsid w:val="00744239"/>
    <w:rsid w:val="00746E68"/>
    <w:rsid w:val="007475B0"/>
    <w:rsid w:val="0074782A"/>
    <w:rsid w:val="00751696"/>
    <w:rsid w:val="007516FE"/>
    <w:rsid w:val="007550CE"/>
    <w:rsid w:val="0075784B"/>
    <w:rsid w:val="00761ACB"/>
    <w:rsid w:val="007673B8"/>
    <w:rsid w:val="00767521"/>
    <w:rsid w:val="00767FCE"/>
    <w:rsid w:val="00770D0C"/>
    <w:rsid w:val="00772A37"/>
    <w:rsid w:val="0077674D"/>
    <w:rsid w:val="00780AD7"/>
    <w:rsid w:val="007813B7"/>
    <w:rsid w:val="00784B4A"/>
    <w:rsid w:val="00784C4F"/>
    <w:rsid w:val="0078537C"/>
    <w:rsid w:val="0079048C"/>
    <w:rsid w:val="00793E38"/>
    <w:rsid w:val="00795847"/>
    <w:rsid w:val="007959B6"/>
    <w:rsid w:val="00796FB5"/>
    <w:rsid w:val="0079729F"/>
    <w:rsid w:val="007A08D7"/>
    <w:rsid w:val="007A6B84"/>
    <w:rsid w:val="007A6EEA"/>
    <w:rsid w:val="007B041E"/>
    <w:rsid w:val="007B51FA"/>
    <w:rsid w:val="007B7E63"/>
    <w:rsid w:val="007C5340"/>
    <w:rsid w:val="007C671D"/>
    <w:rsid w:val="007D1603"/>
    <w:rsid w:val="007D29BB"/>
    <w:rsid w:val="007E15B2"/>
    <w:rsid w:val="007E1A19"/>
    <w:rsid w:val="007E31C2"/>
    <w:rsid w:val="007E69E2"/>
    <w:rsid w:val="007E6C44"/>
    <w:rsid w:val="007F3BC5"/>
    <w:rsid w:val="007F4261"/>
    <w:rsid w:val="007F4DC4"/>
    <w:rsid w:val="007F58B2"/>
    <w:rsid w:val="00802CE6"/>
    <w:rsid w:val="00803735"/>
    <w:rsid w:val="00803ED0"/>
    <w:rsid w:val="00821C4A"/>
    <w:rsid w:val="00821FE5"/>
    <w:rsid w:val="00822961"/>
    <w:rsid w:val="008234FC"/>
    <w:rsid w:val="00824232"/>
    <w:rsid w:val="00831B3F"/>
    <w:rsid w:val="00842C02"/>
    <w:rsid w:val="00844F1C"/>
    <w:rsid w:val="00845A06"/>
    <w:rsid w:val="008469D5"/>
    <w:rsid w:val="0084780E"/>
    <w:rsid w:val="0084790A"/>
    <w:rsid w:val="0085288E"/>
    <w:rsid w:val="008531E0"/>
    <w:rsid w:val="00853B90"/>
    <w:rsid w:val="00853D63"/>
    <w:rsid w:val="00856ABE"/>
    <w:rsid w:val="00863C7D"/>
    <w:rsid w:val="00865373"/>
    <w:rsid w:val="008661FC"/>
    <w:rsid w:val="00875A73"/>
    <w:rsid w:val="0088132E"/>
    <w:rsid w:val="008815F4"/>
    <w:rsid w:val="00881F82"/>
    <w:rsid w:val="008824F0"/>
    <w:rsid w:val="008838C0"/>
    <w:rsid w:val="00884818"/>
    <w:rsid w:val="0088592A"/>
    <w:rsid w:val="008953FC"/>
    <w:rsid w:val="00895C87"/>
    <w:rsid w:val="008A49A6"/>
    <w:rsid w:val="008B0DD9"/>
    <w:rsid w:val="008B1A07"/>
    <w:rsid w:val="008B7451"/>
    <w:rsid w:val="008B7C69"/>
    <w:rsid w:val="008C6645"/>
    <w:rsid w:val="008D1071"/>
    <w:rsid w:val="008D7109"/>
    <w:rsid w:val="008D75EA"/>
    <w:rsid w:val="008E1A93"/>
    <w:rsid w:val="008E2963"/>
    <w:rsid w:val="008E7E85"/>
    <w:rsid w:val="008F2EDA"/>
    <w:rsid w:val="008F345B"/>
    <w:rsid w:val="0090336C"/>
    <w:rsid w:val="009054E2"/>
    <w:rsid w:val="00911611"/>
    <w:rsid w:val="009142F7"/>
    <w:rsid w:val="00916233"/>
    <w:rsid w:val="00916482"/>
    <w:rsid w:val="00925B26"/>
    <w:rsid w:val="009311FA"/>
    <w:rsid w:val="009341C5"/>
    <w:rsid w:val="00936824"/>
    <w:rsid w:val="009376DC"/>
    <w:rsid w:val="00942BFF"/>
    <w:rsid w:val="0094346C"/>
    <w:rsid w:val="009510E8"/>
    <w:rsid w:val="009555ED"/>
    <w:rsid w:val="00957F06"/>
    <w:rsid w:val="009604BF"/>
    <w:rsid w:val="00961ADE"/>
    <w:rsid w:val="00962068"/>
    <w:rsid w:val="00963CEA"/>
    <w:rsid w:val="00971F10"/>
    <w:rsid w:val="00972190"/>
    <w:rsid w:val="00975231"/>
    <w:rsid w:val="0097720F"/>
    <w:rsid w:val="009779BB"/>
    <w:rsid w:val="00985F84"/>
    <w:rsid w:val="00986AFA"/>
    <w:rsid w:val="00990B20"/>
    <w:rsid w:val="00990E1D"/>
    <w:rsid w:val="00994457"/>
    <w:rsid w:val="00995620"/>
    <w:rsid w:val="00997F5E"/>
    <w:rsid w:val="009A14F5"/>
    <w:rsid w:val="009A2F46"/>
    <w:rsid w:val="009A3D68"/>
    <w:rsid w:val="009A4940"/>
    <w:rsid w:val="009A7A55"/>
    <w:rsid w:val="009B44B7"/>
    <w:rsid w:val="009B500F"/>
    <w:rsid w:val="009B5AE4"/>
    <w:rsid w:val="009B6E81"/>
    <w:rsid w:val="009C3C20"/>
    <w:rsid w:val="009C43B7"/>
    <w:rsid w:val="009E25A0"/>
    <w:rsid w:val="009E4160"/>
    <w:rsid w:val="009F05A9"/>
    <w:rsid w:val="009F0ECF"/>
    <w:rsid w:val="009F5EA5"/>
    <w:rsid w:val="009F70C3"/>
    <w:rsid w:val="00A10A31"/>
    <w:rsid w:val="00A21E28"/>
    <w:rsid w:val="00A30D2A"/>
    <w:rsid w:val="00A313A9"/>
    <w:rsid w:val="00A32688"/>
    <w:rsid w:val="00A36C04"/>
    <w:rsid w:val="00A41BD4"/>
    <w:rsid w:val="00A449CA"/>
    <w:rsid w:val="00A4556F"/>
    <w:rsid w:val="00A463A5"/>
    <w:rsid w:val="00A46434"/>
    <w:rsid w:val="00A5263C"/>
    <w:rsid w:val="00A540E3"/>
    <w:rsid w:val="00A55213"/>
    <w:rsid w:val="00A61D3E"/>
    <w:rsid w:val="00A74E8B"/>
    <w:rsid w:val="00A77129"/>
    <w:rsid w:val="00A80A81"/>
    <w:rsid w:val="00A816D9"/>
    <w:rsid w:val="00A84523"/>
    <w:rsid w:val="00A90406"/>
    <w:rsid w:val="00A93007"/>
    <w:rsid w:val="00A95C89"/>
    <w:rsid w:val="00AB3B46"/>
    <w:rsid w:val="00AC1EDA"/>
    <w:rsid w:val="00AD0375"/>
    <w:rsid w:val="00AD17E4"/>
    <w:rsid w:val="00AD32CC"/>
    <w:rsid w:val="00AD6EC6"/>
    <w:rsid w:val="00AD7CF0"/>
    <w:rsid w:val="00AE2FA4"/>
    <w:rsid w:val="00AE370A"/>
    <w:rsid w:val="00AE4F6D"/>
    <w:rsid w:val="00AE5B38"/>
    <w:rsid w:val="00AE6779"/>
    <w:rsid w:val="00B0019D"/>
    <w:rsid w:val="00B0168F"/>
    <w:rsid w:val="00B02323"/>
    <w:rsid w:val="00B06345"/>
    <w:rsid w:val="00B07B97"/>
    <w:rsid w:val="00B14652"/>
    <w:rsid w:val="00B16CD3"/>
    <w:rsid w:val="00B22BC7"/>
    <w:rsid w:val="00B30EF4"/>
    <w:rsid w:val="00B3293D"/>
    <w:rsid w:val="00B34E68"/>
    <w:rsid w:val="00B354E9"/>
    <w:rsid w:val="00B36DFB"/>
    <w:rsid w:val="00B41D9C"/>
    <w:rsid w:val="00B422BA"/>
    <w:rsid w:val="00B44988"/>
    <w:rsid w:val="00B46164"/>
    <w:rsid w:val="00B54886"/>
    <w:rsid w:val="00B5769B"/>
    <w:rsid w:val="00B668F1"/>
    <w:rsid w:val="00B7231D"/>
    <w:rsid w:val="00B73552"/>
    <w:rsid w:val="00B77556"/>
    <w:rsid w:val="00B85930"/>
    <w:rsid w:val="00B87B4D"/>
    <w:rsid w:val="00B92A1F"/>
    <w:rsid w:val="00B9530D"/>
    <w:rsid w:val="00B97D39"/>
    <w:rsid w:val="00BA1157"/>
    <w:rsid w:val="00BA30FF"/>
    <w:rsid w:val="00BA7A27"/>
    <w:rsid w:val="00BB0084"/>
    <w:rsid w:val="00BB1CC3"/>
    <w:rsid w:val="00BB221B"/>
    <w:rsid w:val="00BB2699"/>
    <w:rsid w:val="00BB68D5"/>
    <w:rsid w:val="00BB6A04"/>
    <w:rsid w:val="00BC1BF5"/>
    <w:rsid w:val="00BC2F75"/>
    <w:rsid w:val="00BC3E9F"/>
    <w:rsid w:val="00BC575C"/>
    <w:rsid w:val="00BD1318"/>
    <w:rsid w:val="00BD34A5"/>
    <w:rsid w:val="00BE277F"/>
    <w:rsid w:val="00BF1D60"/>
    <w:rsid w:val="00BF2FC5"/>
    <w:rsid w:val="00BF77BA"/>
    <w:rsid w:val="00BF77C3"/>
    <w:rsid w:val="00C03686"/>
    <w:rsid w:val="00C10611"/>
    <w:rsid w:val="00C12DB3"/>
    <w:rsid w:val="00C21879"/>
    <w:rsid w:val="00C273CC"/>
    <w:rsid w:val="00C36D3F"/>
    <w:rsid w:val="00C40A30"/>
    <w:rsid w:val="00C410EA"/>
    <w:rsid w:val="00C44EF3"/>
    <w:rsid w:val="00C5044E"/>
    <w:rsid w:val="00C5111A"/>
    <w:rsid w:val="00C51D0F"/>
    <w:rsid w:val="00C52C2B"/>
    <w:rsid w:val="00C55831"/>
    <w:rsid w:val="00C55EE8"/>
    <w:rsid w:val="00C65615"/>
    <w:rsid w:val="00C6653C"/>
    <w:rsid w:val="00C7160C"/>
    <w:rsid w:val="00C71CC5"/>
    <w:rsid w:val="00C743B5"/>
    <w:rsid w:val="00C74A13"/>
    <w:rsid w:val="00C75592"/>
    <w:rsid w:val="00C80BDB"/>
    <w:rsid w:val="00C813C0"/>
    <w:rsid w:val="00C839EC"/>
    <w:rsid w:val="00C9670A"/>
    <w:rsid w:val="00CA0517"/>
    <w:rsid w:val="00CA659D"/>
    <w:rsid w:val="00CB1A52"/>
    <w:rsid w:val="00CB32BA"/>
    <w:rsid w:val="00CC40A2"/>
    <w:rsid w:val="00CC416B"/>
    <w:rsid w:val="00CC5220"/>
    <w:rsid w:val="00CD61EF"/>
    <w:rsid w:val="00CE00CD"/>
    <w:rsid w:val="00CE2870"/>
    <w:rsid w:val="00CE5BA1"/>
    <w:rsid w:val="00CE5D1E"/>
    <w:rsid w:val="00CF1467"/>
    <w:rsid w:val="00CF1720"/>
    <w:rsid w:val="00CF363F"/>
    <w:rsid w:val="00CF384B"/>
    <w:rsid w:val="00CF3C9D"/>
    <w:rsid w:val="00CF5491"/>
    <w:rsid w:val="00CF6FDE"/>
    <w:rsid w:val="00D0287A"/>
    <w:rsid w:val="00D04748"/>
    <w:rsid w:val="00D108CF"/>
    <w:rsid w:val="00D13275"/>
    <w:rsid w:val="00D1363B"/>
    <w:rsid w:val="00D13AA5"/>
    <w:rsid w:val="00D14EC8"/>
    <w:rsid w:val="00D2201A"/>
    <w:rsid w:val="00D31F7A"/>
    <w:rsid w:val="00D337DA"/>
    <w:rsid w:val="00D33CC1"/>
    <w:rsid w:val="00D419FB"/>
    <w:rsid w:val="00D431CF"/>
    <w:rsid w:val="00D466AC"/>
    <w:rsid w:val="00D53367"/>
    <w:rsid w:val="00D56101"/>
    <w:rsid w:val="00D577E2"/>
    <w:rsid w:val="00D64942"/>
    <w:rsid w:val="00D66BFE"/>
    <w:rsid w:val="00D6710D"/>
    <w:rsid w:val="00D72B00"/>
    <w:rsid w:val="00D752C5"/>
    <w:rsid w:val="00D8041F"/>
    <w:rsid w:val="00D84A3F"/>
    <w:rsid w:val="00D84E1E"/>
    <w:rsid w:val="00D85545"/>
    <w:rsid w:val="00D85CF3"/>
    <w:rsid w:val="00D91AB0"/>
    <w:rsid w:val="00D938A8"/>
    <w:rsid w:val="00D942B1"/>
    <w:rsid w:val="00D95920"/>
    <w:rsid w:val="00DA06D0"/>
    <w:rsid w:val="00DA320E"/>
    <w:rsid w:val="00DA7567"/>
    <w:rsid w:val="00DB0152"/>
    <w:rsid w:val="00DB0696"/>
    <w:rsid w:val="00DB5872"/>
    <w:rsid w:val="00DB7AA4"/>
    <w:rsid w:val="00DD0368"/>
    <w:rsid w:val="00DD2E26"/>
    <w:rsid w:val="00DD61F2"/>
    <w:rsid w:val="00DE3AFA"/>
    <w:rsid w:val="00DE4021"/>
    <w:rsid w:val="00DE4AB6"/>
    <w:rsid w:val="00DF013B"/>
    <w:rsid w:val="00DF084D"/>
    <w:rsid w:val="00DF17A9"/>
    <w:rsid w:val="00E00085"/>
    <w:rsid w:val="00E00158"/>
    <w:rsid w:val="00E01F7A"/>
    <w:rsid w:val="00E0237E"/>
    <w:rsid w:val="00E02B98"/>
    <w:rsid w:val="00E0754A"/>
    <w:rsid w:val="00E16F4A"/>
    <w:rsid w:val="00E17F7F"/>
    <w:rsid w:val="00E20CA7"/>
    <w:rsid w:val="00E239D4"/>
    <w:rsid w:val="00E26AFF"/>
    <w:rsid w:val="00E5156B"/>
    <w:rsid w:val="00E53722"/>
    <w:rsid w:val="00E5675E"/>
    <w:rsid w:val="00E6354D"/>
    <w:rsid w:val="00E651D9"/>
    <w:rsid w:val="00E6615C"/>
    <w:rsid w:val="00E677A5"/>
    <w:rsid w:val="00E718EC"/>
    <w:rsid w:val="00E73F00"/>
    <w:rsid w:val="00E77567"/>
    <w:rsid w:val="00E82C23"/>
    <w:rsid w:val="00E85C2F"/>
    <w:rsid w:val="00E92D8B"/>
    <w:rsid w:val="00E94237"/>
    <w:rsid w:val="00E9568E"/>
    <w:rsid w:val="00EA312E"/>
    <w:rsid w:val="00EA3DC2"/>
    <w:rsid w:val="00EA706B"/>
    <w:rsid w:val="00EA7111"/>
    <w:rsid w:val="00EB1AF8"/>
    <w:rsid w:val="00EB4B09"/>
    <w:rsid w:val="00EC336C"/>
    <w:rsid w:val="00EC432A"/>
    <w:rsid w:val="00EC61C9"/>
    <w:rsid w:val="00EC7A09"/>
    <w:rsid w:val="00ED0A38"/>
    <w:rsid w:val="00ED1134"/>
    <w:rsid w:val="00ED1558"/>
    <w:rsid w:val="00ED1E89"/>
    <w:rsid w:val="00ED3982"/>
    <w:rsid w:val="00ED3993"/>
    <w:rsid w:val="00ED4621"/>
    <w:rsid w:val="00EE1316"/>
    <w:rsid w:val="00EE23C1"/>
    <w:rsid w:val="00EE25B5"/>
    <w:rsid w:val="00EF3B2E"/>
    <w:rsid w:val="00F01638"/>
    <w:rsid w:val="00F03EF1"/>
    <w:rsid w:val="00F101AD"/>
    <w:rsid w:val="00F10B6A"/>
    <w:rsid w:val="00F116D3"/>
    <w:rsid w:val="00F1422F"/>
    <w:rsid w:val="00F16F98"/>
    <w:rsid w:val="00F20CC4"/>
    <w:rsid w:val="00F2152A"/>
    <w:rsid w:val="00F25E5C"/>
    <w:rsid w:val="00F33D7B"/>
    <w:rsid w:val="00F36B74"/>
    <w:rsid w:val="00F4167D"/>
    <w:rsid w:val="00F41F56"/>
    <w:rsid w:val="00F44626"/>
    <w:rsid w:val="00F45004"/>
    <w:rsid w:val="00F54EB6"/>
    <w:rsid w:val="00F556AA"/>
    <w:rsid w:val="00F562C9"/>
    <w:rsid w:val="00F6045E"/>
    <w:rsid w:val="00F6291A"/>
    <w:rsid w:val="00F63978"/>
    <w:rsid w:val="00F77812"/>
    <w:rsid w:val="00F81814"/>
    <w:rsid w:val="00F821DE"/>
    <w:rsid w:val="00F86B91"/>
    <w:rsid w:val="00F9044F"/>
    <w:rsid w:val="00FA30AE"/>
    <w:rsid w:val="00FB5EBE"/>
    <w:rsid w:val="00FB6135"/>
    <w:rsid w:val="00FC1129"/>
    <w:rsid w:val="00FC7D64"/>
    <w:rsid w:val="00FD130E"/>
    <w:rsid w:val="00FD21BE"/>
    <w:rsid w:val="00FD43FE"/>
    <w:rsid w:val="00FD5AC5"/>
    <w:rsid w:val="00FD5DBC"/>
    <w:rsid w:val="00FD78C2"/>
    <w:rsid w:val="00FE4B84"/>
    <w:rsid w:val="00FE5C3B"/>
    <w:rsid w:val="00FE727F"/>
    <w:rsid w:val="00FE7307"/>
    <w:rsid w:val="00FF3793"/>
    <w:rsid w:val="00FF7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FCAE"/>
  <w15:docId w15:val="{D9BEC2BE-9169-46A7-926C-F578B54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9F"/>
    <w:pPr>
      <w:spacing w:line="25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1">
    <w:name w:val="Estilo11"/>
    <w:basedOn w:val="Tablaweb1"/>
    <w:uiPriority w:val="99"/>
    <w:rsid w:val="00744239"/>
    <w:pPr>
      <w:spacing w:after="0" w:line="240" w:lineRule="auto"/>
    </w:pPr>
    <w:rPr>
      <w:sz w:val="20"/>
      <w:szCs w:val="20"/>
      <w:lang w:val="es-ES" w:eastAsia="es-ES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744239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0-CUERPO">
    <w:name w:val="00-CUERPO"/>
    <w:basedOn w:val="Normal"/>
    <w:link w:val="00-CUERPOCar"/>
    <w:qFormat/>
    <w:rsid w:val="00DA320E"/>
    <w:pPr>
      <w:spacing w:before="240" w:line="480" w:lineRule="auto"/>
      <w:jc w:val="both"/>
    </w:pPr>
    <w:rPr>
      <w:rFonts w:ascii="Arial" w:eastAsiaTheme="minorHAnsi" w:hAnsi="Arial" w:cs="Arial"/>
      <w:sz w:val="24"/>
      <w:szCs w:val="24"/>
      <w:lang w:val="es-ES"/>
    </w:rPr>
  </w:style>
  <w:style w:type="character" w:customStyle="1" w:styleId="00-CUERPOCar">
    <w:name w:val="00-CUERPO Car"/>
    <w:basedOn w:val="Fuentedeprrafopredeter"/>
    <w:link w:val="00-CUERPO"/>
    <w:rsid w:val="00DA320E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0754A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ar"/>
    <w:rsid w:val="00E0754A"/>
    <w:pPr>
      <w:spacing w:line="240" w:lineRule="auto"/>
    </w:pPr>
    <w:rPr>
      <w:rFonts w:eastAsiaTheme="minorHAnsi" w:cs="Calibri"/>
      <w:noProof/>
      <w:sz w:val="24"/>
      <w:szCs w:val="24"/>
      <w:lang w:val="es-ES"/>
    </w:rPr>
  </w:style>
  <w:style w:type="character" w:customStyle="1" w:styleId="EndNoteBibliographyCar">
    <w:name w:val="EndNote Bibliography Car"/>
    <w:basedOn w:val="00-CUERPOCar"/>
    <w:link w:val="EndNoteBibliography"/>
    <w:rsid w:val="00E0754A"/>
    <w:rPr>
      <w:rFonts w:ascii="Calibri" w:hAnsi="Calibri" w:cs="Calibri"/>
      <w:noProof/>
      <w:sz w:val="24"/>
      <w:szCs w:val="24"/>
      <w:lang w:val="es-ES"/>
    </w:rPr>
  </w:style>
  <w:style w:type="paragraph" w:customStyle="1" w:styleId="00-T3">
    <w:name w:val="00-T3"/>
    <w:basedOn w:val="00-CUERPO"/>
    <w:link w:val="00-T3Car"/>
    <w:qFormat/>
    <w:rsid w:val="00610E49"/>
    <w:pPr>
      <w:spacing w:after="0"/>
    </w:pPr>
    <w:rPr>
      <w:b/>
    </w:rPr>
  </w:style>
  <w:style w:type="character" w:customStyle="1" w:styleId="00-T3Car">
    <w:name w:val="00-T3 Car"/>
    <w:basedOn w:val="00-CUERPOCar"/>
    <w:link w:val="00-T3"/>
    <w:rsid w:val="00610E49"/>
    <w:rPr>
      <w:rFonts w:ascii="Arial" w:hAnsi="Arial" w:cs="Arial"/>
      <w:b/>
      <w:sz w:val="24"/>
      <w:szCs w:val="24"/>
      <w:lang w:val="es-ES"/>
    </w:rPr>
  </w:style>
  <w:style w:type="paragraph" w:customStyle="1" w:styleId="Estilo1">
    <w:name w:val="Estilo1"/>
    <w:basedOn w:val="00-CUERPO"/>
    <w:link w:val="Estilo1Car"/>
    <w:qFormat/>
    <w:rsid w:val="00610E49"/>
    <w:pPr>
      <w:numPr>
        <w:numId w:val="2"/>
      </w:numPr>
      <w:spacing w:before="0" w:after="0"/>
    </w:pPr>
  </w:style>
  <w:style w:type="character" w:customStyle="1" w:styleId="Estilo1Car">
    <w:name w:val="Estilo1 Car"/>
    <w:basedOn w:val="00-CUERPOCar"/>
    <w:link w:val="Estilo1"/>
    <w:rsid w:val="00610E49"/>
    <w:rPr>
      <w:rFonts w:ascii="Arial" w:hAnsi="Arial" w:cs="Arial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5C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5C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5C23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C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C23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C23"/>
    <w:rPr>
      <w:rFonts w:ascii="Segoe UI" w:eastAsia="Calibr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8531E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77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andote1986@gmail.com" TargetMode="External"/><Relationship Id="rId13" Type="http://schemas.openxmlformats.org/officeDocument/2006/relationships/hyperlink" Target="http://scielo.sld.cu/scielo.php?script=sci_arttext&amp;pid=S1025-02552021000300011&amp;lang=en" TargetMode="External"/><Relationship Id="rId18" Type="http://schemas.openxmlformats.org/officeDocument/2006/relationships/hyperlink" Target="https://www.google.com/amp/s/www.reproduccionasistida.org/estilo-de-vida-fertilidad-reproduccion-asistida-embarazo/amp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rcid.org/0000-0002-2177-4297" TargetMode="External"/><Relationship Id="rId12" Type="http://schemas.openxmlformats.org/officeDocument/2006/relationships/hyperlink" Target="http://www.scielo.org.pe/scielo.php?script=sci_arttext&amp;pid=S2304-51322021000300005&amp;lang=en" TargetMode="External"/><Relationship Id="rId17" Type="http://schemas.openxmlformats.org/officeDocument/2006/relationships/hyperlink" Target="http://scielo.senescyt.gob.ec/scielo.php?script=sci_arttext&amp;pid=S2661-67422021000100030&amp;Ing=es" TargetMode="External"/><Relationship Id="rId2" Type="http://schemas.openxmlformats.org/officeDocument/2006/relationships/styles" Target="styles.xml"/><Relationship Id="rId16" Type="http://schemas.openxmlformats.org/officeDocument/2006/relationships/hyperlink" Target="http://scielo.cl/scielo.php?script=sci_arttext&amp;pid=S0034-98872017001101378&amp;Ing=es" TargetMode="External"/><Relationship Id="rId20" Type="http://schemas.openxmlformats.org/officeDocument/2006/relationships/hyperlink" Target="http://www.revginecobstetricia.sld.cu/index.php/gin/article/view/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3439-7424" TargetMode="External"/><Relationship Id="rId11" Type="http://schemas.openxmlformats.org/officeDocument/2006/relationships/hyperlink" Target="https://www.ncbi.nlm.nih.gov/pmc/articles/PMC8364430/" TargetMode="External"/><Relationship Id="rId5" Type="http://schemas.openxmlformats.org/officeDocument/2006/relationships/hyperlink" Target="https://orcid.org/0000-0003-3350-374X" TargetMode="External"/><Relationship Id="rId15" Type="http://schemas.openxmlformats.org/officeDocument/2006/relationships/hyperlink" Target="https://revoftalmologia.sld.cu/index.php/oftalmologia/article/view/2043" TargetMode="External"/><Relationship Id="rId10" Type="http://schemas.openxmlformats.org/officeDocument/2006/relationships/hyperlink" Target="http://scielo.sld.cu/scielo.php?script=sci_arttext&amp;pid=S0864-03192015000100001&amp;nrm=iso" TargetMode="External"/><Relationship Id="rId19" Type="http://schemas.openxmlformats.org/officeDocument/2006/relationships/hyperlink" Target="https://www.ncbi.nlm.nih.gov/pmc/articles/PMC6792126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s://revfinlay.sld.cu/index.php/finlay/article/view/1224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364775831592481"/>
          <c:y val="4.6553558163720102E-2"/>
          <c:w val="0.49505597514596378"/>
          <c:h val="0.846087257960679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E47-4173-A1A7-CBE28528B8AE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7E47-4173-A1A7-CBE28528B8AE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E47-4173-A1A7-CBE28528B8AE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7E47-4173-A1A7-CBE28528B8AE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E47-4173-A1A7-CBE28528B8AE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E47-4173-A1A7-CBE28528B8AE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E47-4173-A1A7-CBE28528B8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Hoja1!$A$2:$A$16</c:f>
              <c:strCache>
                <c:ptCount val="15"/>
                <c:pt idx="1">
                  <c:v>Nivel educacional</c:v>
                </c:pt>
                <c:pt idx="3">
                  <c:v>Primaria (1,6 %)</c:v>
                </c:pt>
                <c:pt idx="4">
                  <c:v>Preuniversitario (24,4 %)</c:v>
                </c:pt>
                <c:pt idx="5">
                  <c:v>Secundaria (28,6 %)</c:v>
                </c:pt>
                <c:pt idx="6">
                  <c:v>Universitario (45,4 %)</c:v>
                </c:pt>
                <c:pt idx="8">
                  <c:v>Hábitos tóxicos</c:v>
                </c:pt>
                <c:pt idx="10">
                  <c:v>Alcohol (1,6 %)</c:v>
                </c:pt>
                <c:pt idx="11">
                  <c:v>Medicamentos (5,3 %)</c:v>
                </c:pt>
                <c:pt idx="12">
                  <c:v>Tabaco (14,5 %)</c:v>
                </c:pt>
                <c:pt idx="13">
                  <c:v>Café (24,0 %)</c:v>
                </c:pt>
                <c:pt idx="14">
                  <c:v>No refiere (54,6 %)</c:v>
                </c:pt>
              </c:strCache>
            </c:strRef>
          </c:cat>
          <c:val>
            <c:numRef>
              <c:f>Hoja1!$B$2:$B$16</c:f>
              <c:numCache>
                <c:formatCode>General</c:formatCode>
                <c:ptCount val="15"/>
                <c:pt idx="3">
                  <c:v>5</c:v>
                </c:pt>
                <c:pt idx="4">
                  <c:v>74</c:v>
                </c:pt>
                <c:pt idx="5">
                  <c:v>87</c:v>
                </c:pt>
                <c:pt idx="6">
                  <c:v>138</c:v>
                </c:pt>
                <c:pt idx="10">
                  <c:v>5</c:v>
                </c:pt>
                <c:pt idx="11">
                  <c:v>16</c:v>
                </c:pt>
                <c:pt idx="12">
                  <c:v>44</c:v>
                </c:pt>
                <c:pt idx="13">
                  <c:v>73</c:v>
                </c:pt>
                <c:pt idx="14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47-4173-A1A7-CBE28528B8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34230048"/>
        <c:axId val="234225128"/>
      </c:barChart>
      <c:catAx>
        <c:axId val="234230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en-US"/>
          </a:p>
        </c:txPr>
        <c:crossAx val="234225128"/>
        <c:crosses val="autoZero"/>
        <c:auto val="1"/>
        <c:lblAlgn val="ctr"/>
        <c:lblOffset val="100"/>
        <c:noMultiLvlLbl val="0"/>
      </c:catAx>
      <c:valAx>
        <c:axId val="234225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34230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4463</TotalTime>
  <Pages>16</Pages>
  <Words>4152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yoanderson1984@gmail.com</dc:creator>
  <cp:keywords/>
  <dc:description/>
  <cp:lastModifiedBy>higiene</cp:lastModifiedBy>
  <cp:revision>937</cp:revision>
  <dcterms:created xsi:type="dcterms:W3CDTF">2022-05-21T13:31:00Z</dcterms:created>
  <dcterms:modified xsi:type="dcterms:W3CDTF">2025-09-08T14:14:00Z</dcterms:modified>
</cp:coreProperties>
</file>