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62356" w14:textId="77777777" w:rsidR="00831B9D" w:rsidRDefault="00831B9D" w:rsidP="00831B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1B9D">
        <w:rPr>
          <w:rFonts w:ascii="Arial" w:hAnsi="Arial" w:cs="Arial"/>
          <w:sz w:val="24"/>
          <w:szCs w:val="24"/>
        </w:rPr>
        <w:t xml:space="preserve">Título: </w:t>
      </w:r>
      <w:r>
        <w:rPr>
          <w:rFonts w:ascii="Arial" w:hAnsi="Arial" w:cs="Arial"/>
          <w:sz w:val="24"/>
          <w:szCs w:val="24"/>
        </w:rPr>
        <w:t>“</w:t>
      </w:r>
      <w:r w:rsidRPr="00831B9D">
        <w:rPr>
          <w:rFonts w:ascii="Arial" w:hAnsi="Arial" w:cs="Arial"/>
          <w:sz w:val="24"/>
          <w:szCs w:val="24"/>
        </w:rPr>
        <w:t xml:space="preserve">Actualización de la Enfermedad Trofoblástica Gestacional: Avances </w:t>
      </w:r>
      <w:r>
        <w:rPr>
          <w:rFonts w:ascii="Arial" w:hAnsi="Arial" w:cs="Arial"/>
          <w:sz w:val="24"/>
          <w:szCs w:val="24"/>
        </w:rPr>
        <w:t>r</w:t>
      </w:r>
      <w:r w:rsidRPr="00831B9D">
        <w:rPr>
          <w:rFonts w:ascii="Arial" w:hAnsi="Arial" w:cs="Arial"/>
          <w:sz w:val="24"/>
          <w:szCs w:val="24"/>
        </w:rPr>
        <w:t xml:space="preserve">ecientes y </w:t>
      </w:r>
      <w:r>
        <w:rPr>
          <w:rFonts w:ascii="Arial" w:hAnsi="Arial" w:cs="Arial"/>
          <w:sz w:val="24"/>
          <w:szCs w:val="24"/>
        </w:rPr>
        <w:t>p</w:t>
      </w:r>
      <w:r w:rsidRPr="00831B9D">
        <w:rPr>
          <w:rFonts w:ascii="Arial" w:hAnsi="Arial" w:cs="Arial"/>
          <w:sz w:val="24"/>
          <w:szCs w:val="24"/>
        </w:rPr>
        <w:t xml:space="preserve">erspectivas en el </w:t>
      </w:r>
      <w:r>
        <w:rPr>
          <w:rFonts w:ascii="Arial" w:hAnsi="Arial" w:cs="Arial"/>
          <w:sz w:val="24"/>
          <w:szCs w:val="24"/>
        </w:rPr>
        <w:t>m</w:t>
      </w:r>
      <w:r w:rsidRPr="00831B9D">
        <w:rPr>
          <w:rFonts w:ascii="Arial" w:hAnsi="Arial" w:cs="Arial"/>
          <w:sz w:val="24"/>
          <w:szCs w:val="24"/>
        </w:rPr>
        <w:t xml:space="preserve">anejo </w:t>
      </w:r>
      <w:r>
        <w:rPr>
          <w:rFonts w:ascii="Arial" w:hAnsi="Arial" w:cs="Arial"/>
          <w:sz w:val="24"/>
          <w:szCs w:val="24"/>
        </w:rPr>
        <w:t>c</w:t>
      </w:r>
      <w:r w:rsidRPr="00831B9D">
        <w:rPr>
          <w:rFonts w:ascii="Arial" w:hAnsi="Arial" w:cs="Arial"/>
          <w:sz w:val="24"/>
          <w:szCs w:val="24"/>
        </w:rPr>
        <w:t>línico</w:t>
      </w:r>
      <w:r>
        <w:rPr>
          <w:rFonts w:ascii="Arial" w:hAnsi="Arial" w:cs="Arial"/>
          <w:sz w:val="24"/>
          <w:szCs w:val="24"/>
        </w:rPr>
        <w:t>”</w:t>
      </w:r>
    </w:p>
    <w:p w14:paraId="3C47505E" w14:textId="560BDA50" w:rsidR="00831B9D" w:rsidRDefault="00831B9D" w:rsidP="00831B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Autores</w:t>
      </w:r>
    </w:p>
    <w:p w14:paraId="35CF3E6B" w14:textId="7334C10A" w:rsidR="00831B9D" w:rsidRDefault="00831B9D" w:rsidP="00831B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Dra. Susana de las Mercedes Hernández Parera. Correo</w:t>
      </w:r>
      <w:r w:rsidR="00656C00">
        <w:rPr>
          <w:rFonts w:ascii="Arial" w:hAnsi="Arial" w:cs="Arial"/>
          <w:sz w:val="24"/>
          <w:szCs w:val="24"/>
        </w:rPr>
        <w:t>: susanahndez</w:t>
      </w:r>
      <w:r w:rsidR="00656C00" w:rsidRPr="00656C00">
        <w:rPr>
          <w:rFonts w:ascii="Arial" w:hAnsi="Arial" w:cs="Arial"/>
          <w:sz w:val="24"/>
          <w:szCs w:val="24"/>
        </w:rPr>
        <w:t>@</w:t>
      </w:r>
      <w:r w:rsidR="00656C00">
        <w:rPr>
          <w:rFonts w:ascii="Arial" w:hAnsi="Arial" w:cs="Arial"/>
          <w:sz w:val="24"/>
          <w:szCs w:val="24"/>
        </w:rPr>
        <w:t>gmail.com</w:t>
      </w:r>
    </w:p>
    <w:p w14:paraId="0B5FCD2B" w14:textId="21CE7DFE" w:rsidR="00831B9D" w:rsidRDefault="00831B9D" w:rsidP="00831B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Dra. Yaimara </w:t>
      </w:r>
      <w:r w:rsidR="00C970B2">
        <w:rPr>
          <w:rFonts w:ascii="Arial" w:hAnsi="Arial" w:cs="Arial"/>
          <w:sz w:val="24"/>
          <w:szCs w:val="24"/>
        </w:rPr>
        <w:t>Valdés</w:t>
      </w:r>
      <w:r>
        <w:rPr>
          <w:rFonts w:ascii="Arial" w:hAnsi="Arial" w:cs="Arial"/>
          <w:sz w:val="24"/>
          <w:szCs w:val="24"/>
        </w:rPr>
        <w:t xml:space="preserve"> Silva</w:t>
      </w:r>
    </w:p>
    <w:p w14:paraId="482EE06A" w14:textId="18D307BE" w:rsidR="00831B9D" w:rsidRDefault="00C970B2" w:rsidP="00831B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Dra.</w:t>
      </w:r>
      <w:r w:rsidR="00831B9D">
        <w:rPr>
          <w:rFonts w:ascii="Arial" w:hAnsi="Arial" w:cs="Arial"/>
          <w:sz w:val="24"/>
          <w:szCs w:val="24"/>
        </w:rPr>
        <w:t xml:space="preserve"> Dania Vargas Batista</w:t>
      </w:r>
    </w:p>
    <w:p w14:paraId="022E73CF" w14:textId="6EE6D165" w:rsidR="00C970B2" w:rsidRDefault="00831B9D" w:rsidP="00831B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Dra. </w:t>
      </w:r>
      <w:r w:rsidR="00C970B2">
        <w:rPr>
          <w:rFonts w:ascii="Arial" w:hAnsi="Arial" w:cs="Arial"/>
          <w:sz w:val="24"/>
          <w:szCs w:val="24"/>
        </w:rPr>
        <w:t>Lismay Green Pupo</w:t>
      </w:r>
    </w:p>
    <w:p w14:paraId="21839DCE" w14:textId="77777777" w:rsidR="00C970B2" w:rsidRDefault="00C970B2" w:rsidP="00831B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Dra. Beatriz Infante Hernández</w:t>
      </w:r>
    </w:p>
    <w:p w14:paraId="1FC321A1" w14:textId="73021812" w:rsidR="00831B9D" w:rsidRDefault="00C970B2" w:rsidP="00831B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Facultad de Ciencias Médicas “Mariana Grajales Coello” </w:t>
      </w:r>
      <w:r w:rsidR="00831B9D">
        <w:rPr>
          <w:rFonts w:ascii="Arial" w:hAnsi="Arial" w:cs="Arial"/>
          <w:sz w:val="24"/>
          <w:szCs w:val="24"/>
        </w:rPr>
        <w:t xml:space="preserve"> </w:t>
      </w:r>
    </w:p>
    <w:p w14:paraId="04F01AFF" w14:textId="77777777" w:rsidR="00C970B2" w:rsidRDefault="00C970B2" w:rsidP="00831B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Holguín </w:t>
      </w:r>
    </w:p>
    <w:p w14:paraId="32625F21" w14:textId="0A486DB9" w:rsidR="00C970B2" w:rsidRDefault="00C970B2" w:rsidP="00831B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Cuba </w:t>
      </w:r>
    </w:p>
    <w:p w14:paraId="17A617D1" w14:textId="41A280C1" w:rsidR="00C970B2" w:rsidRDefault="00C970B2" w:rsidP="00831B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Año 2025</w:t>
      </w:r>
    </w:p>
    <w:p w14:paraId="335498BC" w14:textId="77777777" w:rsidR="00831B9D" w:rsidRDefault="00831B9D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6C43401D" w14:textId="12323685" w:rsidR="00831B9D" w:rsidRDefault="00831B9D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14:paraId="2B624DF5" w14:textId="755567F9" w:rsidR="00C970B2" w:rsidRDefault="00C970B2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6882AF98" w14:textId="78974909" w:rsidR="00C970B2" w:rsidRDefault="00C970B2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5ED9D0E9" w14:textId="6530512F" w:rsidR="00C970B2" w:rsidRDefault="00C970B2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09A7706A" w14:textId="77903B0A" w:rsidR="00C970B2" w:rsidRDefault="00C970B2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7335F919" w14:textId="78A227B1" w:rsidR="00C970B2" w:rsidRDefault="00C970B2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7FD9BBFD" w14:textId="5F0DE181" w:rsidR="00C970B2" w:rsidRDefault="00C970B2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3290F0CC" w14:textId="7D72A144" w:rsidR="00C970B2" w:rsidRDefault="00C970B2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31A1A1C5" w14:textId="20C7C3FB" w:rsidR="00C970B2" w:rsidRDefault="00C970B2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2AB63D9D" w14:textId="2C668A2D" w:rsidR="00C970B2" w:rsidRDefault="00C970B2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74CFA787" w14:textId="5D5AD54F" w:rsidR="00C970B2" w:rsidRDefault="00C970B2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00B62DDE" w14:textId="680A3BEB" w:rsidR="00C970B2" w:rsidRDefault="00C970B2" w:rsidP="00831B9D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14:paraId="31BC3165" w14:textId="0DD0D32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lastRenderedPageBreak/>
        <w:t>Resume</w:t>
      </w:r>
      <w:r>
        <w:rPr>
          <w:rFonts w:ascii="Arial" w:hAnsi="Arial" w:cs="Arial"/>
          <w:sz w:val="24"/>
          <w:szCs w:val="24"/>
        </w:rPr>
        <w:t>n</w:t>
      </w:r>
    </w:p>
    <w:p w14:paraId="5C751515" w14:textId="58B7F35E" w:rsid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>Introducción: La enfermedad trofoblástica gestacional (ETG) comprende un espectro de neoplasias derivadas del trofoblasto placentario, presentando desafíos diagnósticos y terapéuticos. La incidencia global varía, con tasas más altas en Asia y Latinoamérica. Este estudio busca actualizar el manejo de la ETG con énfasis en los avances recientes.</w:t>
      </w:r>
      <w:r>
        <w:rPr>
          <w:rFonts w:ascii="Arial" w:hAnsi="Arial" w:cs="Arial"/>
          <w:sz w:val="24"/>
          <w:szCs w:val="24"/>
        </w:rPr>
        <w:t xml:space="preserve"> </w:t>
      </w:r>
      <w:r w:rsidRPr="00C970B2">
        <w:rPr>
          <w:rFonts w:ascii="Arial" w:hAnsi="Arial" w:cs="Arial"/>
          <w:sz w:val="24"/>
          <w:szCs w:val="24"/>
        </w:rPr>
        <w:t>Objetivo: Proporcionar una revisión exhaustiva y actualizada de la ETG, abarcando epidemiología, diagnóstico, tratamiento y seguimiento, destacando los avances recientes y perspectivas futuras.</w:t>
      </w:r>
      <w:r w:rsidR="003B7BA1">
        <w:rPr>
          <w:rFonts w:ascii="Arial" w:hAnsi="Arial" w:cs="Arial"/>
          <w:sz w:val="24"/>
          <w:szCs w:val="24"/>
        </w:rPr>
        <w:t xml:space="preserve"> </w:t>
      </w:r>
      <w:r w:rsidRPr="00C970B2">
        <w:rPr>
          <w:rFonts w:ascii="Arial" w:hAnsi="Arial" w:cs="Arial"/>
          <w:sz w:val="24"/>
          <w:szCs w:val="24"/>
        </w:rPr>
        <w:t xml:space="preserve">Diseño Metodológico: Revisión sistemática de la literatura científica (2018-2024) en bases de datos como PubMed y </w:t>
      </w:r>
      <w:proofErr w:type="spellStart"/>
      <w:r w:rsidRPr="00C970B2">
        <w:rPr>
          <w:rFonts w:ascii="Arial" w:hAnsi="Arial" w:cs="Arial"/>
          <w:sz w:val="24"/>
          <w:szCs w:val="24"/>
        </w:rPr>
        <w:t>Scopus</w:t>
      </w:r>
      <w:proofErr w:type="spellEnd"/>
      <w:r w:rsidRPr="00C970B2">
        <w:rPr>
          <w:rFonts w:ascii="Arial" w:hAnsi="Arial" w:cs="Arial"/>
          <w:sz w:val="24"/>
          <w:szCs w:val="24"/>
        </w:rPr>
        <w:t>. Se incluyeron artículos originales, revisiones y guías de práctica clínica sobre epidemiología, diagnóstico y tratamiento de la ETG.</w:t>
      </w:r>
      <w:r w:rsidR="003B7BA1">
        <w:rPr>
          <w:rFonts w:ascii="Arial" w:hAnsi="Arial" w:cs="Arial"/>
          <w:sz w:val="24"/>
          <w:szCs w:val="24"/>
        </w:rPr>
        <w:t xml:space="preserve"> </w:t>
      </w:r>
      <w:r w:rsidRPr="00C970B2">
        <w:rPr>
          <w:rFonts w:ascii="Arial" w:hAnsi="Arial" w:cs="Arial"/>
          <w:sz w:val="24"/>
          <w:szCs w:val="24"/>
        </w:rPr>
        <w:t>Desarrollo: Se analizó la clasificación actualizada de la ETG, incluyendo mola hidatiforme, coriocarcinoma y tumores trofoblásticos raros. Se revisaron métodos diagnósticos (hCG, ultrasonido, análisis genómico) y tratamientos (quimioterapia, cirugía, inmunoterapia</w:t>
      </w:r>
      <w:r w:rsidR="003B7BA1" w:rsidRPr="00C970B2">
        <w:rPr>
          <w:rFonts w:ascii="Arial" w:hAnsi="Arial" w:cs="Arial"/>
          <w:sz w:val="24"/>
          <w:szCs w:val="24"/>
        </w:rPr>
        <w:t>). Conclusiones</w:t>
      </w:r>
      <w:r w:rsidRPr="00C970B2">
        <w:rPr>
          <w:rFonts w:ascii="Arial" w:hAnsi="Arial" w:cs="Arial"/>
          <w:sz w:val="24"/>
          <w:szCs w:val="24"/>
        </w:rPr>
        <w:t>: La ETG requiere un manejo multidisciplinario y actualizado. Los avances en diagnóstico molecular y terapias dirigidas prometen mejorar los resultados. Se recomienda la implementación de guías de práctica clínica actualizadas y la promoción de la investigación en ETG.</w:t>
      </w:r>
    </w:p>
    <w:p w14:paraId="3FAF4405" w14:textId="271FED7B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Palabras claves: </w:t>
      </w:r>
      <w:r w:rsidRPr="003B7BA1">
        <w:rPr>
          <w:rFonts w:ascii="Arial" w:hAnsi="Arial" w:cs="Arial"/>
          <w:sz w:val="24"/>
          <w:szCs w:val="24"/>
        </w:rPr>
        <w:t>enfermedad trofoblástica gestacional</w:t>
      </w:r>
      <w:r>
        <w:rPr>
          <w:rFonts w:ascii="Arial" w:hAnsi="Arial" w:cs="Arial"/>
          <w:sz w:val="24"/>
          <w:szCs w:val="24"/>
        </w:rPr>
        <w:t>, inmunoterapia, enzima gonadotrofina coriónica humana (</w:t>
      </w:r>
      <w:r w:rsidRPr="003B7BA1">
        <w:rPr>
          <w:rFonts w:ascii="Arial" w:hAnsi="Arial" w:cs="Arial"/>
          <w:sz w:val="24"/>
          <w:szCs w:val="24"/>
        </w:rPr>
        <w:t>hCG</w:t>
      </w:r>
      <w:r>
        <w:rPr>
          <w:rFonts w:ascii="Arial" w:hAnsi="Arial" w:cs="Arial"/>
          <w:sz w:val="24"/>
          <w:szCs w:val="24"/>
        </w:rPr>
        <w:t>)</w:t>
      </w:r>
    </w:p>
    <w:p w14:paraId="0EE646DA" w14:textId="3338D165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C5CC03" w14:textId="30304B09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BB57BC" w14:textId="79219B5D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523759" w14:textId="02220EDA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FA0798A" w14:textId="7A6393C0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281DD1" w14:textId="730CB882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0F4E69" w14:textId="483FDD4C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5198D91" w14:textId="5058CF2A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104FC7" w14:textId="5ED1771C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D343B7" w14:textId="57D99573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47520A" w14:textId="38232DBD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89E78E9" w14:textId="329166E6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2560BF" w14:textId="27FD350A" w:rsidR="003B7BA1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7E87635" w14:textId="77777777" w:rsidR="003B7BA1" w:rsidRPr="00C970B2" w:rsidRDefault="003B7BA1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B6A7BD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7C4687" w14:textId="77777777" w:rsidR="00D9063D" w:rsidRDefault="00D9063D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  <w:sectPr w:rsidR="00D9063D" w:rsidSect="00831B9D">
          <w:pgSz w:w="12240" w:h="15840" w:code="1"/>
          <w:pgMar w:top="1134" w:right="1134" w:bottom="1134" w:left="1134" w:header="709" w:footer="709" w:gutter="0"/>
          <w:cols w:space="708"/>
          <w:docGrid w:linePitch="360"/>
        </w:sectPr>
      </w:pPr>
    </w:p>
    <w:p w14:paraId="35E7427D" w14:textId="1FDB5C9A" w:rsid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lastRenderedPageBreak/>
        <w:t>Introducció</w:t>
      </w:r>
      <w:r w:rsidR="003B7BA1">
        <w:rPr>
          <w:rFonts w:ascii="Arial" w:hAnsi="Arial" w:cs="Arial"/>
          <w:sz w:val="24"/>
          <w:szCs w:val="24"/>
        </w:rPr>
        <w:t>n</w:t>
      </w:r>
    </w:p>
    <w:p w14:paraId="4824FB7B" w14:textId="178013ED" w:rsidR="00B900EE" w:rsidRPr="00B900EE" w:rsidRDefault="00B900E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B900EE">
        <w:rPr>
          <w:rFonts w:ascii="Arial" w:hAnsi="Arial" w:cs="Arial"/>
          <w:sz w:val="24"/>
          <w:szCs w:val="24"/>
        </w:rPr>
        <w:t xml:space="preserve">La enfermedad trofoblástica gestacional </w:t>
      </w:r>
      <w:r>
        <w:rPr>
          <w:rFonts w:ascii="Arial" w:hAnsi="Arial" w:cs="Arial"/>
          <w:sz w:val="24"/>
          <w:szCs w:val="24"/>
        </w:rPr>
        <w:t>(</w:t>
      </w:r>
      <w:r w:rsidRPr="00B900EE">
        <w:rPr>
          <w:rFonts w:ascii="Arial" w:hAnsi="Arial" w:cs="Arial"/>
          <w:sz w:val="24"/>
          <w:szCs w:val="24"/>
        </w:rPr>
        <w:t>ETG</w:t>
      </w:r>
      <w:r>
        <w:rPr>
          <w:rFonts w:ascii="Arial" w:hAnsi="Arial" w:cs="Arial"/>
          <w:sz w:val="24"/>
          <w:szCs w:val="24"/>
        </w:rPr>
        <w:t>)</w:t>
      </w:r>
      <w:r w:rsidRPr="00B900EE">
        <w:rPr>
          <w:rFonts w:ascii="Arial" w:hAnsi="Arial" w:cs="Arial"/>
          <w:sz w:val="24"/>
          <w:szCs w:val="24"/>
        </w:rPr>
        <w:t xml:space="preserve"> representa un conjunto de entidades que surgen del epitelio trofoblástico de la placenta tras una fertilización anómala, destacándose por su capacidad de proliferación y potencial maligno variable. Su importancia radica en afectar principalmente a mujeres en edad reproductiva, pudiendo causar complicaciones graves como sangrado vaginal anormal, aborto espontáneo, causa de infertilidad y en casos avanzados, metástasis. La comprensión actualizada de su clasificación clínica y tratamientos disponibles es crucial para su manejo óptimo.</w:t>
      </w:r>
      <w:r>
        <w:rPr>
          <w:rFonts w:ascii="Arial" w:hAnsi="Arial" w:cs="Arial"/>
          <w:sz w:val="24"/>
          <w:szCs w:val="24"/>
          <w:vertAlign w:val="superscript"/>
        </w:rPr>
        <w:t>1,2</w:t>
      </w:r>
    </w:p>
    <w:p w14:paraId="6FEF3375" w14:textId="047394BE" w:rsidR="00C970B2" w:rsidRPr="00C970B2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4563">
        <w:rPr>
          <w:rFonts w:ascii="Arial" w:hAnsi="Arial" w:cs="Arial"/>
          <w:sz w:val="24"/>
          <w:szCs w:val="24"/>
        </w:rPr>
        <w:t xml:space="preserve">Según guías recientes, la ETG se clasifica en tres grandes grupos: enfermedades gestacionales benignas, premalignas y malignas. Las benignas incluyen la reacción exagerada del sitio placentario y el nódulo del sitio placentario. Las premalignas comprenden la mola hidatiforme completa (CHM), la mola hidatiforme parcial (PHM) y el nódulo atípico del sitio placentario. Las malignas, o neoplasias trofoblásticas gestacionales (NTG), incluyen la mola invasiva (MIM), </w:t>
      </w:r>
      <w:proofErr w:type="gramStart"/>
      <w:r w:rsidRPr="00434563">
        <w:rPr>
          <w:rFonts w:ascii="Arial" w:hAnsi="Arial" w:cs="Arial"/>
          <w:sz w:val="24"/>
          <w:szCs w:val="24"/>
        </w:rPr>
        <w:t>el coriocarcinoma</w:t>
      </w:r>
      <w:proofErr w:type="gramEnd"/>
      <w:r w:rsidRPr="00434563">
        <w:rPr>
          <w:rFonts w:ascii="Arial" w:hAnsi="Arial" w:cs="Arial"/>
          <w:sz w:val="24"/>
          <w:szCs w:val="24"/>
        </w:rPr>
        <w:t xml:space="preserve"> (CC), el tumor trofoblástico del sitio placentario (PSTT) y el tumor trofoblástico epitelioide (TET)</w:t>
      </w:r>
      <w:r w:rsidR="00C51D66">
        <w:rPr>
          <w:rFonts w:ascii="Arial" w:hAnsi="Arial" w:cs="Arial"/>
          <w:sz w:val="24"/>
          <w:szCs w:val="24"/>
        </w:rPr>
        <w:t>.</w:t>
      </w:r>
      <w:r w:rsidR="00C51D66">
        <w:rPr>
          <w:rFonts w:ascii="Arial" w:hAnsi="Arial" w:cs="Arial"/>
          <w:sz w:val="24"/>
          <w:szCs w:val="24"/>
          <w:vertAlign w:val="superscript"/>
        </w:rPr>
        <w:t>3</w:t>
      </w:r>
    </w:p>
    <w:p w14:paraId="2363C4AA" w14:textId="02E49B91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>La incidencia de la ETG varía a nivel mundial. Las tasas más altas se observan en Asia y América Latina, con cifras que oscilan entre 1 y 3 por cada 1000 embarazos. En contraste, las tasas en Europa y América del Norte son generalmente más bajas, alrededor de 0.5 a 1 por cada 1000 embarazos. Factores como la edad materna (tanto en adolescentes como en mujeres mayores de 35 años), el nivel socioeconómico y la historia previa de ETG se han asociado con un mayor riesgo</w:t>
      </w:r>
      <w:r w:rsidR="00C51D66">
        <w:rPr>
          <w:rFonts w:ascii="Arial" w:hAnsi="Arial" w:cs="Arial"/>
          <w:sz w:val="24"/>
          <w:szCs w:val="24"/>
        </w:rPr>
        <w:t>.</w:t>
      </w:r>
      <w:r w:rsidR="00C51D66">
        <w:rPr>
          <w:rFonts w:ascii="Arial" w:hAnsi="Arial" w:cs="Arial"/>
          <w:sz w:val="24"/>
          <w:szCs w:val="24"/>
          <w:vertAlign w:val="superscript"/>
        </w:rPr>
        <w:t>4</w:t>
      </w:r>
    </w:p>
    <w:p w14:paraId="514ED097" w14:textId="01E3207B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>En Cuba, la ETG representa una preocupación de salud pública. Los datos epidemiológicos disponibles son limitados, pero indican una incidencia estimada de</w:t>
      </w:r>
      <w:r w:rsidR="00434563">
        <w:rPr>
          <w:rFonts w:ascii="Arial" w:hAnsi="Arial" w:cs="Arial"/>
          <w:sz w:val="24"/>
          <w:szCs w:val="24"/>
        </w:rPr>
        <w:t xml:space="preserve"> 2 por cada </w:t>
      </w:r>
      <w:r w:rsidR="00434563" w:rsidRPr="00434563">
        <w:rPr>
          <w:rFonts w:ascii="Arial" w:hAnsi="Arial" w:cs="Arial"/>
          <w:sz w:val="24"/>
          <w:szCs w:val="24"/>
        </w:rPr>
        <w:t>1000 embarazos</w:t>
      </w:r>
      <w:r w:rsidRPr="00C970B2">
        <w:rPr>
          <w:rFonts w:ascii="Arial" w:hAnsi="Arial" w:cs="Arial"/>
          <w:sz w:val="24"/>
          <w:szCs w:val="24"/>
        </w:rPr>
        <w:t xml:space="preserve">. Es esencial fortalecer la vigilancia epidemiológica y la investigación en </w:t>
      </w:r>
      <w:r w:rsidR="00C51D66">
        <w:rPr>
          <w:rFonts w:ascii="Arial" w:hAnsi="Arial" w:cs="Arial"/>
          <w:sz w:val="24"/>
          <w:szCs w:val="24"/>
        </w:rPr>
        <w:t xml:space="preserve">el país </w:t>
      </w:r>
      <w:r w:rsidRPr="00C970B2">
        <w:rPr>
          <w:rFonts w:ascii="Arial" w:hAnsi="Arial" w:cs="Arial"/>
          <w:sz w:val="24"/>
          <w:szCs w:val="24"/>
        </w:rPr>
        <w:t>para comprender mejor la carga de la ETG y adaptar las estrategias de prevención y manejo.</w:t>
      </w:r>
    </w:p>
    <w:p w14:paraId="71FCBBCF" w14:textId="22DB8FB2" w:rsid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>Dada la evolución continua en la comprensión y el manejo de la ETG, es crucial proporcionar una revisión exhaustiva y actualizada. Este estudio se justifica por la necesidad de sintetizar los avances recientes en la clasificación, el diagnóstico, el tratamiento y el seguimiento de la ETG, con el objetivo de mejorar la atención clínica y los resultados para las pacientes afectadas.</w:t>
      </w:r>
    </w:p>
    <w:p w14:paraId="5C246AAA" w14:textId="7C1CF523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F3AB4E5" w14:textId="3A3AB7B8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A6D180" w14:textId="6F347825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Objetivos</w:t>
      </w:r>
    </w:p>
    <w:p w14:paraId="3489B298" w14:textId="247A0112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-General</w:t>
      </w:r>
    </w:p>
    <w:p w14:paraId="5DD66A6C" w14:textId="153D18F9" w:rsidR="008408B8" w:rsidRPr="008408B8" w:rsidRDefault="008408B8" w:rsidP="008408B8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08B8">
        <w:rPr>
          <w:rFonts w:ascii="Arial" w:hAnsi="Arial" w:cs="Arial"/>
          <w:sz w:val="24"/>
          <w:szCs w:val="24"/>
        </w:rPr>
        <w:t>Proporcionar una revisión exhaustiva y actualizada de la enfermedad trofoblástica gestacional (ETG), abarcando los aspectos epidemiológicos, diagnósticos, terapéuticos y de seguimiento, con énfasis en los avances recientes y las perspectivas futuras en el manejo clínico.</w:t>
      </w:r>
    </w:p>
    <w:p w14:paraId="28515109" w14:textId="0A648376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-Específicos:</w:t>
      </w:r>
    </w:p>
    <w:p w14:paraId="00E08549" w14:textId="75619A0F" w:rsidR="008408B8" w:rsidRPr="008408B8" w:rsidRDefault="008408B8" w:rsidP="008408B8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08B8">
        <w:rPr>
          <w:rFonts w:ascii="Arial" w:hAnsi="Arial" w:cs="Arial"/>
          <w:sz w:val="24"/>
          <w:szCs w:val="24"/>
        </w:rPr>
        <w:t>Revisar y actualizar la clasificación y el diagnóstico</w:t>
      </w:r>
    </w:p>
    <w:p w14:paraId="52CDCE45" w14:textId="14BC763E" w:rsidR="008408B8" w:rsidRPr="008408B8" w:rsidRDefault="008408B8" w:rsidP="008408B8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408B8">
        <w:rPr>
          <w:rFonts w:ascii="Arial" w:hAnsi="Arial" w:cs="Arial"/>
          <w:sz w:val="24"/>
          <w:szCs w:val="24"/>
        </w:rPr>
        <w:t>Analizar los avances en el tratamiento</w:t>
      </w:r>
    </w:p>
    <w:p w14:paraId="2A0A7B99" w14:textId="77777777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04C612" w14:textId="77777777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5A753A" w14:textId="0C500685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16C4A0" w14:textId="1D10E6A4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6CEB4F" w14:textId="698C0559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B60465" w14:textId="50D36118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40BDB8" w14:textId="46BB1A2E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E8247D" w14:textId="6ECC97B7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9E52C2F" w14:textId="27DCE5B6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653A67" w14:textId="267E5F9B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267D25" w14:textId="349BEB5B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A0BFA6" w14:textId="1DE528FC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6211AD" w14:textId="7C4D1AA5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043570" w14:textId="7D82C926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6BB13D" w14:textId="477B4382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D99D9A" w14:textId="5D8012CE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55E5E54" w14:textId="605568CC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A2415C" w14:textId="36B24BCD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112C818" w14:textId="78932BA3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FE1436" w14:textId="6E5A292A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3EA3063" w14:textId="1A4F10D2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450D5F" w14:textId="021EE17D" w:rsidR="008408B8" w:rsidRDefault="008408B8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7BDD6CF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9D19EE" w14:textId="058223B1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lastRenderedPageBreak/>
        <w:t>Diseño Metodológico</w:t>
      </w:r>
    </w:p>
    <w:p w14:paraId="16EBA052" w14:textId="704CBB5E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>Tipo de Estudio una revisión sistemática de la literatura científica.</w:t>
      </w:r>
    </w:p>
    <w:p w14:paraId="7C41323A" w14:textId="4ABCFCF5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>Métodos Utilizados:</w:t>
      </w:r>
    </w:p>
    <w:p w14:paraId="1A77F8BC" w14:textId="161DF98B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•  Búsqueda Bibliográfica: Se realizó una búsqueda exhaustiva en bases de datos electrónicas como PubMed, </w:t>
      </w:r>
      <w:proofErr w:type="spellStart"/>
      <w:r w:rsidRPr="00C970B2">
        <w:rPr>
          <w:rFonts w:ascii="Arial" w:hAnsi="Arial" w:cs="Arial"/>
          <w:sz w:val="24"/>
          <w:szCs w:val="24"/>
        </w:rPr>
        <w:t>Scopus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, Web </w:t>
      </w:r>
      <w:proofErr w:type="spellStart"/>
      <w:r w:rsidRPr="00C970B2">
        <w:rPr>
          <w:rFonts w:ascii="Arial" w:hAnsi="Arial" w:cs="Arial"/>
          <w:sz w:val="24"/>
          <w:szCs w:val="24"/>
        </w:rPr>
        <w:t>of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Science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y Lilacs, utilizando términos clave como "enfermedad trofoblástica gestacional", "mola hidatiforme", "coriocarcinoma", "diagnóstico", "tratamiento", "seguimiento", y "epidemiología".</w:t>
      </w:r>
    </w:p>
    <w:p w14:paraId="078E02CA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>Criterios de Selección: Se incluyeron artículos originales, revisiones sistemáticas, metaanálisis y guías de práctica clínica publicados entre 2018 y 2024 en inglés o español. Se excluyeron estudios no relevantes, duplicados o con metodología deficiente.</w:t>
      </w:r>
    </w:p>
    <w:p w14:paraId="6E0DC597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>•  Extracción de Datos: Se extrajeron datos relevantes sobre la epidemiología, la clasificación, el diagnóstico, el tratamiento y el seguimiento de la ETG.</w:t>
      </w:r>
    </w:p>
    <w:p w14:paraId="21621344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>•  Síntesis de la Información: Se realizó una síntesis narrativa de los datos extraídos, identificando los principales hallazgos y tendencias en la literatura.</w:t>
      </w:r>
    </w:p>
    <w:p w14:paraId="4A89D046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57932C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517C8F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2BB20C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00BD09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3CCE9F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28D7E5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A21731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FAE9473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075761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FA9CD6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A93EEE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D19A44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5FD0BE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CD146B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3205DC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697ADE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35694D" w14:textId="77777777" w:rsidR="00434563" w:rsidRDefault="00434563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07EC97" w14:textId="7D11E132" w:rsid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lastRenderedPageBreak/>
        <w:t>Desarrollo</w:t>
      </w:r>
    </w:p>
    <w:p w14:paraId="31F94841" w14:textId="6DE3A228" w:rsidR="00B900EE" w:rsidRPr="00B900EE" w:rsidRDefault="00B900E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B900EE">
        <w:rPr>
          <w:rFonts w:ascii="Arial" w:hAnsi="Arial" w:cs="Arial"/>
          <w:sz w:val="24"/>
          <w:szCs w:val="24"/>
        </w:rPr>
        <w:t xml:space="preserve">La (ETG) engloba un espectro de neoplasias que se originan en el trofoblasto placentario después de la fertilización. A pesar de su relativa rareza, la ETG representa un desafío clínico significativo debido a su potencial de malignidad y metástasis. Incluye entidades como la mola hidatiforme (completa y parcial), </w:t>
      </w:r>
      <w:proofErr w:type="gramStart"/>
      <w:r w:rsidRPr="00B900EE">
        <w:rPr>
          <w:rFonts w:ascii="Arial" w:hAnsi="Arial" w:cs="Arial"/>
          <w:sz w:val="24"/>
          <w:szCs w:val="24"/>
        </w:rPr>
        <w:t>el coriocarcinoma</w:t>
      </w:r>
      <w:proofErr w:type="gramEnd"/>
      <w:r w:rsidRPr="00B900EE">
        <w:rPr>
          <w:rFonts w:ascii="Arial" w:hAnsi="Arial" w:cs="Arial"/>
          <w:sz w:val="24"/>
          <w:szCs w:val="24"/>
        </w:rPr>
        <w:t>, el tumor trofoblástico del sitio placentario (TTSP) y el tumor trofoblástico epitelioide (TTE). El manejo de la ETG ha evolucionado considerablemente, impulsado por los avances en la oncología y la biología molecular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vertAlign w:val="superscript"/>
        </w:rPr>
        <w:t>4</w:t>
      </w:r>
    </w:p>
    <w:p w14:paraId="64E70CE4" w14:textId="3195CEE6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La Organización Mundial de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Salud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(OMS)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proporciona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una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clasificación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histopatológica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detallada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la ETG</w:t>
      </w:r>
      <w:r w:rsidR="00723F07">
        <w:rPr>
          <w:rFonts w:ascii="Arial" w:eastAsia="SimSun" w:hAnsi="Arial" w:cs="Arial"/>
          <w:sz w:val="24"/>
          <w:szCs w:val="24"/>
          <w:vertAlign w:val="superscript"/>
          <w:lang w:val="en-US" w:eastAsia="zh-CN"/>
        </w:rPr>
        <w:t xml:space="preserve"> 5</w:t>
      </w: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que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incluye</w:t>
      </w:r>
      <w:proofErr w:type="spellEnd"/>
      <w:r w:rsidR="00B151FC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38286582" w14:textId="4BFAA8AF" w:rsidR="008408B8" w:rsidRPr="008408B8" w:rsidRDefault="00B151FC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>
        <w:rPr>
          <w:rFonts w:ascii="Arial" w:eastAsia="SimSun" w:hAnsi="Arial" w:cs="Arial"/>
          <w:sz w:val="24"/>
          <w:szCs w:val="24"/>
          <w:lang w:val="en-US" w:eastAsia="zh-CN"/>
        </w:rPr>
        <w:t>I</w:t>
      </w:r>
      <w:r w:rsidR="008408B8"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.  Mola </w:t>
      </w:r>
      <w:proofErr w:type="spellStart"/>
      <w:r w:rsidR="008408B8" w:rsidRPr="008408B8">
        <w:rPr>
          <w:rFonts w:ascii="Arial" w:eastAsia="SimSun" w:hAnsi="Arial" w:cs="Arial"/>
          <w:sz w:val="24"/>
          <w:szCs w:val="24"/>
          <w:lang w:val="en-US" w:eastAsia="zh-CN"/>
        </w:rPr>
        <w:t>Hidatiforme</w:t>
      </w:r>
      <w:proofErr w:type="spellEnd"/>
      <w:r w:rsidR="008408B8" w:rsidRPr="008408B8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00CAFDC1" w14:textId="4A878BEA" w:rsidR="008408B8" w:rsidRPr="00B151FC" w:rsidRDefault="008408B8" w:rsidP="00B151FC">
      <w:pPr>
        <w:pStyle w:val="Prrafodelista"/>
        <w:numPr>
          <w:ilvl w:val="0"/>
          <w:numId w:val="4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Mola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Hidatiforme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Completa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(MHC):</w:t>
      </w:r>
    </w:p>
    <w:p w14:paraId="06757A35" w14:textId="01B9E78A" w:rsidR="008408B8" w:rsidRPr="00B151FC" w:rsidRDefault="008408B8" w:rsidP="00B151FC">
      <w:pPr>
        <w:pStyle w:val="Prrafodelista"/>
        <w:numPr>
          <w:ilvl w:val="0"/>
          <w:numId w:val="13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Cariotipo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generalmente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gram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46,XX</w:t>
      </w:r>
      <w:proofErr w:type="gram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(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diploide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) o 46,XY,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derivado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completamente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del padre (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androgenético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).</w:t>
      </w:r>
    </w:p>
    <w:p w14:paraId="63DDF35B" w14:textId="11B24394" w:rsidR="008408B8" w:rsidRPr="00B151FC" w:rsidRDefault="008408B8" w:rsidP="00B151FC">
      <w:pPr>
        <w:pStyle w:val="Prrafodelista"/>
        <w:numPr>
          <w:ilvl w:val="0"/>
          <w:numId w:val="13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Ausencia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tejido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fetal.</w:t>
      </w:r>
    </w:p>
    <w:p w14:paraId="54CDE6EC" w14:textId="571BFAAF" w:rsidR="008408B8" w:rsidRPr="00B151FC" w:rsidRDefault="008408B8" w:rsidP="00B151FC">
      <w:pPr>
        <w:pStyle w:val="Prrafodelista"/>
        <w:numPr>
          <w:ilvl w:val="0"/>
          <w:numId w:val="13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Alto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riesgo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desarrollar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neoplasia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trofoblástica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gestacional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(NTG)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persistente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7A20C5CC" w14:textId="53C83B48" w:rsidR="008408B8" w:rsidRPr="00B151FC" w:rsidRDefault="008408B8" w:rsidP="00B151FC">
      <w:pPr>
        <w:pStyle w:val="Prrafodelista"/>
        <w:numPr>
          <w:ilvl w:val="0"/>
          <w:numId w:val="4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Mola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Hidatiforme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Parcial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(MHP):</w:t>
      </w:r>
    </w:p>
    <w:p w14:paraId="565109AF" w14:textId="5275494B" w:rsidR="008408B8" w:rsidRPr="00B151FC" w:rsidRDefault="008408B8" w:rsidP="00B151FC">
      <w:pPr>
        <w:pStyle w:val="Prrafodelista"/>
        <w:numPr>
          <w:ilvl w:val="0"/>
          <w:numId w:val="12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Cariotipo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triploide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(</w:t>
      </w:r>
      <w:proofErr w:type="gram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69,XXX</w:t>
      </w:r>
      <w:proofErr w:type="gram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, 69,XXY, 69,XYY)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debido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a la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fertilización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de un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óvulo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por dos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espermatozoides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o un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espermatozoide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diploide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7DED7209" w14:textId="095407EA" w:rsidR="008408B8" w:rsidRPr="00B151FC" w:rsidRDefault="008408B8" w:rsidP="00B151FC">
      <w:pPr>
        <w:pStyle w:val="Prrafodelista"/>
        <w:numPr>
          <w:ilvl w:val="0"/>
          <w:numId w:val="11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Presencia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tejido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fetal (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aunque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suele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ser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anómalo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).</w:t>
      </w:r>
    </w:p>
    <w:p w14:paraId="4A9CB0B5" w14:textId="6BEF2EC7" w:rsidR="008408B8" w:rsidRPr="00B151FC" w:rsidRDefault="008408B8" w:rsidP="00B151FC">
      <w:pPr>
        <w:pStyle w:val="Prrafodelista"/>
        <w:numPr>
          <w:ilvl w:val="0"/>
          <w:numId w:val="10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Menor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riesgo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desarrollar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NTG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persistente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en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comparación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con la MHC.</w:t>
      </w:r>
    </w:p>
    <w:p w14:paraId="7ACBDB6E" w14:textId="2DFC0102" w:rsidR="008408B8" w:rsidRPr="008408B8" w:rsidRDefault="00B151FC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>
        <w:rPr>
          <w:rFonts w:ascii="Arial" w:eastAsia="SimSun" w:hAnsi="Arial" w:cs="Arial"/>
          <w:sz w:val="24"/>
          <w:szCs w:val="24"/>
          <w:lang w:val="en-US" w:eastAsia="zh-CN"/>
        </w:rPr>
        <w:t>II</w:t>
      </w:r>
      <w:r w:rsidR="008408B8"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.  Neoplasia </w:t>
      </w:r>
      <w:proofErr w:type="spellStart"/>
      <w:r w:rsidR="008408B8" w:rsidRPr="008408B8">
        <w:rPr>
          <w:rFonts w:ascii="Arial" w:eastAsia="SimSun" w:hAnsi="Arial" w:cs="Arial"/>
          <w:sz w:val="24"/>
          <w:szCs w:val="24"/>
          <w:lang w:val="en-US" w:eastAsia="zh-CN"/>
        </w:rPr>
        <w:t>Trofoblástica</w:t>
      </w:r>
      <w:proofErr w:type="spellEnd"/>
      <w:r w:rsidR="008408B8"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="008408B8" w:rsidRPr="008408B8">
        <w:rPr>
          <w:rFonts w:ascii="Arial" w:eastAsia="SimSun" w:hAnsi="Arial" w:cs="Arial"/>
          <w:sz w:val="24"/>
          <w:szCs w:val="24"/>
          <w:lang w:val="en-US" w:eastAsia="zh-CN"/>
        </w:rPr>
        <w:t>Gestacional</w:t>
      </w:r>
      <w:proofErr w:type="spellEnd"/>
      <w:r w:rsidR="008408B8"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(NTG):</w:t>
      </w:r>
    </w:p>
    <w:p w14:paraId="79AE0936" w14:textId="3DFFA21D" w:rsidR="008408B8" w:rsidRPr="00B151FC" w:rsidRDefault="00B151FC" w:rsidP="00B151FC">
      <w:pPr>
        <w:pStyle w:val="Prrafodelista"/>
        <w:numPr>
          <w:ilvl w:val="0"/>
          <w:numId w:val="14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r w:rsidR="008408B8"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Mola </w:t>
      </w:r>
      <w:proofErr w:type="spellStart"/>
      <w:r w:rsidR="008408B8" w:rsidRPr="00B151FC">
        <w:rPr>
          <w:rFonts w:ascii="Arial" w:eastAsia="SimSun" w:hAnsi="Arial" w:cs="Arial"/>
          <w:sz w:val="24"/>
          <w:szCs w:val="24"/>
          <w:lang w:val="en-US" w:eastAsia="zh-CN"/>
        </w:rPr>
        <w:t>Invasiva</w:t>
      </w:r>
      <w:proofErr w:type="spellEnd"/>
      <w:r w:rsidR="008408B8" w:rsidRPr="00B151FC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24A45F5E" w14:textId="5B298EEE" w:rsidR="008408B8" w:rsidRPr="00B151FC" w:rsidRDefault="008408B8" w:rsidP="00B151FC">
      <w:pPr>
        <w:pStyle w:val="Prrafodelista"/>
        <w:numPr>
          <w:ilvl w:val="0"/>
          <w:numId w:val="10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Mola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hidatiforme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que invade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profundamente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miometrio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50EB71A3" w14:textId="40E80186" w:rsidR="008408B8" w:rsidRPr="00B151FC" w:rsidRDefault="008408B8" w:rsidP="00B151FC">
      <w:pPr>
        <w:pStyle w:val="Prrafodelista"/>
        <w:numPr>
          <w:ilvl w:val="0"/>
          <w:numId w:val="10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Puede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causar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hemorragia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y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perforación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uterina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737367E8" w14:textId="683C65D2" w:rsidR="008408B8" w:rsidRPr="00B151FC" w:rsidRDefault="00B151FC" w:rsidP="00B151FC">
      <w:pPr>
        <w:pStyle w:val="Prrafodelista"/>
        <w:numPr>
          <w:ilvl w:val="0"/>
          <w:numId w:val="14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>
        <w:rPr>
          <w:rFonts w:ascii="Arial" w:eastAsia="SimSun" w:hAnsi="Arial" w:cs="Arial"/>
          <w:sz w:val="24"/>
          <w:szCs w:val="24"/>
          <w:lang w:val="en-US" w:eastAsia="zh-CN"/>
        </w:rPr>
        <w:t xml:space="preserve">  </w:t>
      </w:r>
      <w:proofErr w:type="spellStart"/>
      <w:r w:rsidR="008408B8" w:rsidRPr="00B151FC">
        <w:rPr>
          <w:rFonts w:ascii="Arial" w:eastAsia="SimSun" w:hAnsi="Arial" w:cs="Arial"/>
          <w:sz w:val="24"/>
          <w:szCs w:val="24"/>
          <w:lang w:val="en-US" w:eastAsia="zh-CN"/>
        </w:rPr>
        <w:t>Coriocarcinoma</w:t>
      </w:r>
      <w:proofErr w:type="spellEnd"/>
      <w:r w:rsidR="008408B8" w:rsidRPr="00B151FC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2D662C7D" w14:textId="5BD9AD99" w:rsidR="008408B8" w:rsidRPr="00B151FC" w:rsidRDefault="008408B8" w:rsidP="00B151FC">
      <w:pPr>
        <w:pStyle w:val="Prrafodelista"/>
        <w:numPr>
          <w:ilvl w:val="0"/>
          <w:numId w:val="15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Neoplasia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maligna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agresiva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compuesta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por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sincitiotrofoblasto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y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citotrofoblasto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43C57EF7" w14:textId="6D56C98A" w:rsidR="008408B8" w:rsidRPr="00B151FC" w:rsidRDefault="008408B8" w:rsidP="00B151FC">
      <w:pPr>
        <w:pStyle w:val="Prrafodelista"/>
        <w:numPr>
          <w:ilvl w:val="0"/>
          <w:numId w:val="15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Alta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capacidad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metastásica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(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pulmón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, vagina,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cerebro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,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hígado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).</w:t>
      </w:r>
    </w:p>
    <w:p w14:paraId="0AA4B57B" w14:textId="62B5F1B7" w:rsidR="008408B8" w:rsidRPr="00B151FC" w:rsidRDefault="008408B8" w:rsidP="00B151FC">
      <w:pPr>
        <w:pStyle w:val="Prrafodelista"/>
        <w:numPr>
          <w:ilvl w:val="0"/>
          <w:numId w:val="15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Puede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surgir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después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de una mola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hidatiforme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, un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embarazo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a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término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, un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aborto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o un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embarazo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ectópico</w:t>
      </w:r>
      <w:proofErr w:type="spellEnd"/>
      <w:r w:rsidRPr="00B151FC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6BD2EACD" w14:textId="730E20F6" w:rsidR="008408B8" w:rsidRPr="00723F07" w:rsidRDefault="008408B8" w:rsidP="00723F07">
      <w:pPr>
        <w:pStyle w:val="Prrafodelista"/>
        <w:numPr>
          <w:ilvl w:val="0"/>
          <w:numId w:val="16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Tumor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Trofoblástico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del Sitio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Placentario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(TTSP):</w:t>
      </w:r>
    </w:p>
    <w:p w14:paraId="1586A061" w14:textId="158C3992" w:rsidR="008408B8" w:rsidRPr="00723F07" w:rsidRDefault="008408B8" w:rsidP="00723F07">
      <w:pPr>
        <w:pStyle w:val="Prrafodelista"/>
        <w:numPr>
          <w:ilvl w:val="0"/>
          <w:numId w:val="19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Tumor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raro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que se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origina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en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sitio de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implantación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placentaria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68C35DE9" w14:textId="3AF49045" w:rsidR="008408B8" w:rsidRPr="00723F07" w:rsidRDefault="008408B8" w:rsidP="00723F07">
      <w:pPr>
        <w:pStyle w:val="Prrafodelista"/>
        <w:numPr>
          <w:ilvl w:val="0"/>
          <w:numId w:val="19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Compuesto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principalmente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por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trofoblasto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intermedio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29F6A816" w14:textId="4E532C89" w:rsidR="008408B8" w:rsidRPr="00723F07" w:rsidRDefault="008408B8" w:rsidP="00723F07">
      <w:pPr>
        <w:pStyle w:val="Prrafodelista"/>
        <w:numPr>
          <w:ilvl w:val="0"/>
          <w:numId w:val="19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lastRenderedPageBreak/>
        <w:t>Tiende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a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invadir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localmente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y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puede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ser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resistente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a la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quimioterapia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769B11CE" w14:textId="252C25D5" w:rsidR="008408B8" w:rsidRPr="00723F07" w:rsidRDefault="008408B8" w:rsidP="00723F07">
      <w:pPr>
        <w:pStyle w:val="Prrafodelista"/>
        <w:numPr>
          <w:ilvl w:val="0"/>
          <w:numId w:val="19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Niveles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de hCG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suelen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ser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bajos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en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comparación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con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coriocarcinoma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3607066B" w14:textId="7A2AED5D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</w:t>
      </w:r>
      <w:r w:rsid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IV. </w:t>
      </w: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Tumor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Trofoblástico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Epitelioide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(TTE):</w:t>
      </w:r>
    </w:p>
    <w:p w14:paraId="468E1701" w14:textId="521401D9" w:rsidR="008408B8" w:rsidRPr="00723F07" w:rsidRDefault="008408B8" w:rsidP="00723F07">
      <w:pPr>
        <w:pStyle w:val="Prrafodelista"/>
        <w:numPr>
          <w:ilvl w:val="0"/>
          <w:numId w:val="19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Neoplasia rara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derivada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del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trofoblasto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intermedio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54155CED" w14:textId="7A065EF9" w:rsidR="008408B8" w:rsidRPr="00723F07" w:rsidRDefault="008408B8" w:rsidP="00723F07">
      <w:pPr>
        <w:pStyle w:val="Prrafodelista"/>
        <w:numPr>
          <w:ilvl w:val="0"/>
          <w:numId w:val="19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Morfología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epitelioide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distintiva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529AC896" w14:textId="28D73CC7" w:rsidR="008408B8" w:rsidRPr="00723F07" w:rsidRDefault="008408B8" w:rsidP="00723F07">
      <w:pPr>
        <w:pStyle w:val="Prrafodelista"/>
        <w:numPr>
          <w:ilvl w:val="0"/>
          <w:numId w:val="19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Puede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ser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difícil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diagnosticar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y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puede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metastatizar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5A85D99C" w14:textId="521A68F8" w:rsidR="00723F07" w:rsidRPr="00723F07" w:rsidRDefault="008408B8" w:rsidP="00723F07">
      <w:pPr>
        <w:pStyle w:val="Prrafodelista"/>
        <w:numPr>
          <w:ilvl w:val="0"/>
          <w:numId w:val="19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Niveles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de hCG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suelen</w:t>
      </w:r>
      <w:proofErr w:type="spellEnd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 xml:space="preserve"> ser </w:t>
      </w:r>
      <w:proofErr w:type="spellStart"/>
      <w:r w:rsidRPr="00723F07">
        <w:rPr>
          <w:rFonts w:ascii="Arial" w:eastAsia="SimSun" w:hAnsi="Arial" w:cs="Arial"/>
          <w:sz w:val="24"/>
          <w:szCs w:val="24"/>
          <w:lang w:val="en-US" w:eastAsia="zh-CN"/>
        </w:rPr>
        <w:t>bajos</w:t>
      </w:r>
      <w:proofErr w:type="spellEnd"/>
    </w:p>
    <w:p w14:paraId="033E3DE8" w14:textId="5A94D23A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vertAlign w:val="superscript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Federación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Internacional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Ginecología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y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Obstetricia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(FIGO) y la OMS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han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desarrollado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sistemas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puntuación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para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clasificar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y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pronosticar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la NTG, que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ayudan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determinar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tratamiento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más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adecuado.</w:t>
      </w:r>
      <w:r w:rsidR="00723F07">
        <w:rPr>
          <w:rFonts w:ascii="Arial" w:eastAsia="SimSun" w:hAnsi="Arial" w:cs="Arial"/>
          <w:sz w:val="24"/>
          <w:szCs w:val="24"/>
          <w:vertAlign w:val="superscript"/>
          <w:lang w:val="en-US" w:eastAsia="zh-CN"/>
        </w:rPr>
        <w:t>6</w:t>
      </w:r>
    </w:p>
    <w:p w14:paraId="05D9A57B" w14:textId="71419890" w:rsidR="008408B8" w:rsidRPr="00C51D66" w:rsidRDefault="008408B8" w:rsidP="00C51D66">
      <w:pPr>
        <w:pStyle w:val="Prrafodelista"/>
        <w:numPr>
          <w:ilvl w:val="0"/>
          <w:numId w:val="22"/>
        </w:num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C51D66">
        <w:rPr>
          <w:rFonts w:ascii="Arial" w:eastAsia="SimSun" w:hAnsi="Arial" w:cs="Arial"/>
          <w:sz w:val="24"/>
          <w:szCs w:val="24"/>
          <w:lang w:val="en-US" w:eastAsia="zh-CN"/>
        </w:rPr>
        <w:t xml:space="preserve">Sistema de </w:t>
      </w:r>
      <w:proofErr w:type="spellStart"/>
      <w:r w:rsidRPr="00C51D66">
        <w:rPr>
          <w:rFonts w:ascii="Arial" w:eastAsia="SimSun" w:hAnsi="Arial" w:cs="Arial"/>
          <w:sz w:val="24"/>
          <w:szCs w:val="24"/>
          <w:lang w:val="en-US" w:eastAsia="zh-CN"/>
        </w:rPr>
        <w:t>Puntuación</w:t>
      </w:r>
      <w:proofErr w:type="spellEnd"/>
      <w:r w:rsidRPr="00C51D66">
        <w:rPr>
          <w:rFonts w:ascii="Arial" w:eastAsia="SimSun" w:hAnsi="Arial" w:cs="Arial"/>
          <w:sz w:val="24"/>
          <w:szCs w:val="24"/>
          <w:lang w:val="en-US" w:eastAsia="zh-CN"/>
        </w:rPr>
        <w:t xml:space="preserve"> de la OMS:</w:t>
      </w:r>
    </w:p>
    <w:p w14:paraId="7775254C" w14:textId="51AE1EEB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Este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sistema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asigna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puntos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basados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en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varios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factores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riesgo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6424C87A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* 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Edad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: &gt;40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años</w:t>
      </w:r>
      <w:proofErr w:type="spellEnd"/>
    </w:p>
    <w:p w14:paraId="722BCA9B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*   Tipo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embarazo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precedente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: Mola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hidatiforme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aborto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embarazo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término</w:t>
      </w:r>
      <w:proofErr w:type="spellEnd"/>
    </w:p>
    <w:p w14:paraId="150897CB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* 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Intervalo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entre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embarazo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índice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y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inicio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del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tratamiento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05B4076A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&lt;4 meses</w:t>
      </w:r>
    </w:p>
    <w:p w14:paraId="668D179E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4-6 meses</w:t>
      </w:r>
    </w:p>
    <w:p w14:paraId="4DCFE562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7-12 meses</w:t>
      </w:r>
    </w:p>
    <w:p w14:paraId="3B9FCA67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&gt;12 meses</w:t>
      </w:r>
    </w:p>
    <w:p w14:paraId="7C24972C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*   Nivel de hCG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previo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al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tratamiento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22C8774F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&lt;1,000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mUI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/mL</w:t>
      </w:r>
    </w:p>
    <w:p w14:paraId="7F95E325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1,000-10,000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mUI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/mL</w:t>
      </w:r>
    </w:p>
    <w:p w14:paraId="3437ED4A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10,000-100,000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mUI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/mL</w:t>
      </w:r>
    </w:p>
    <w:p w14:paraId="60970A9F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&gt;100,000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mUI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/mL</w:t>
      </w:r>
    </w:p>
    <w:p w14:paraId="1D7F4E54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* 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Tamaño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del tumor:</w:t>
      </w:r>
    </w:p>
    <w:p w14:paraId="37ECBAD1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3-5 cm</w:t>
      </w:r>
    </w:p>
    <w:p w14:paraId="0FC7B6A6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&gt;5 cm</w:t>
      </w:r>
    </w:p>
    <w:p w14:paraId="7BB6C628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*   Sitio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metástasis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2DDCF427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Pulmón</w:t>
      </w:r>
      <w:proofErr w:type="spellEnd"/>
    </w:p>
    <w:p w14:paraId="108F4D52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Vagina</w:t>
      </w:r>
    </w:p>
    <w:p w14:paraId="6495EB66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Cerebro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hígado</w:t>
      </w:r>
      <w:proofErr w:type="spellEnd"/>
    </w:p>
    <w:p w14:paraId="66749320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* 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Número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metástasis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213D221F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lastRenderedPageBreak/>
        <w:t xml:space="preserve">        *   1-4</w:t>
      </w:r>
    </w:p>
    <w:p w14:paraId="4152BD87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    *   &gt;4</w:t>
      </w:r>
    </w:p>
    <w:p w14:paraId="1E3DBBB6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* 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Quimioterapia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previa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fallida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41227E7D" w14:textId="1FE4F9FC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* 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Antecedente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embarazo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término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4529DC81" w14:textId="2E56FF81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2.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Clasificación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Riesgo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71FD22F1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*   Bajo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Riesgo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: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Puntuación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total ≤ 6</w:t>
      </w:r>
    </w:p>
    <w:p w14:paraId="6F52123D" w14:textId="3A461CFE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   *   Alto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Riesgo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: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Puntuación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total ≥ 7</w:t>
      </w:r>
    </w:p>
    <w:p w14:paraId="25AB74D1" w14:textId="7049A7A1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vertAlign w:val="superscript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La FIGO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también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proporciona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un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sistema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estadificación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anatómica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que describe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extensión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la enfermedad</w:t>
      </w:r>
      <w:r w:rsidR="00723F07">
        <w:rPr>
          <w:rFonts w:ascii="Arial" w:eastAsia="SimSun" w:hAnsi="Arial" w:cs="Arial"/>
          <w:sz w:val="24"/>
          <w:szCs w:val="24"/>
          <w:lang w:val="en-US" w:eastAsia="zh-CN"/>
        </w:rPr>
        <w:t>.</w:t>
      </w:r>
      <w:r w:rsidR="00723F07">
        <w:rPr>
          <w:rFonts w:ascii="Arial" w:eastAsia="SimSun" w:hAnsi="Arial" w:cs="Arial"/>
          <w:sz w:val="24"/>
          <w:szCs w:val="24"/>
          <w:vertAlign w:val="superscript"/>
          <w:lang w:val="en-US" w:eastAsia="zh-CN"/>
        </w:rPr>
        <w:t>7</w:t>
      </w:r>
    </w:p>
    <w:p w14:paraId="3DAD37B7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•   Estadio I: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Tumorconfinado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al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útero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393F2D64" w14:textId="2ED303E8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•  Estadio II: Tumor se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extiende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fuera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del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útero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pero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limitado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a las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estructuras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genitales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(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ovarios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trompas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Falopio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vagina,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ligamentos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anchos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).</w:t>
      </w:r>
    </w:p>
    <w:p w14:paraId="47BD1ADD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•   Estadio III: Tumor se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extiende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a los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pulmones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con o sin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afectación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genital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conocida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20BC3C45" w14:textId="54B0CF36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•   Estadio IV: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Metástasis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gram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</w:t>
      </w:r>
      <w:proofErr w:type="gram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otros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sitios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distantes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(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cerebro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hígado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riñón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tracto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gastrointestinal).</w:t>
      </w:r>
    </w:p>
    <w:p w14:paraId="4E5E20CE" w14:textId="1E0A310C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Consideraciones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Adicionales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:</w:t>
      </w:r>
    </w:p>
    <w:p w14:paraId="0C1D602C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•   Resistencia a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Quimioterapia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: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resistencia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a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quimioterapia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es un factor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importante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que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puede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influir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en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manejo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y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pronóstico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.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Algunos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tumores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como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TTSP, son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intrínsecamente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más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resistentes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a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quimioterapia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0DEB6FD7" w14:textId="5191B6DB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• 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Factores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Pronósticos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: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Además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puntuación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la OMS y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estadificación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la FIGO,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otros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factores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pronósticos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incluyen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edad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paciente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estado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salud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general y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disponibilidad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recursos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médicos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34BC3075" w14:textId="62589DAB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clasificación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clínica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precisa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la ETG es crucial para:</w:t>
      </w:r>
    </w:p>
    <w:p w14:paraId="329BCCCD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• 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Determinar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tratamiento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inicial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: Las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pacientes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con ETG de bajo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riesgo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generalmente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se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tratan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con un solo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agente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quimioterapéutico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(p.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ej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.,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metotrexato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o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actinomicina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D),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mientras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que las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pacientes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con ETG de alto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riesgo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requieren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regímenes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quimioterapia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combinada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(p.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ej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., EMA/CO).</w:t>
      </w:r>
    </w:p>
    <w:p w14:paraId="1E0C9537" w14:textId="77777777" w:rsidR="008408B8" w:rsidRPr="008408B8" w:rsidRDefault="008408B8" w:rsidP="00B151FC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• 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Predecir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pronóstico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: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clasificación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ayuda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predecir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probabilidad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remisión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completa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y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necesidad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tratamientos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adicionales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1EB6BF08" w14:textId="5A29F1F7" w:rsidR="00C970B2" w:rsidRPr="00723F07" w:rsidRDefault="008408B8" w:rsidP="00C970B2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val="en-US" w:eastAsia="zh-CN"/>
        </w:rPr>
      </w:pPr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• 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Individualizar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manejo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: La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clasificación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permite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adaptar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el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manejo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a las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características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específicas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de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cada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paciente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,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optimizando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así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los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resultados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 xml:space="preserve"> </w:t>
      </w:r>
      <w:proofErr w:type="spellStart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clínicos</w:t>
      </w:r>
      <w:proofErr w:type="spellEnd"/>
      <w:r w:rsidRPr="008408B8">
        <w:rPr>
          <w:rFonts w:ascii="Arial" w:eastAsia="SimSun" w:hAnsi="Arial" w:cs="Arial"/>
          <w:sz w:val="24"/>
          <w:szCs w:val="24"/>
          <w:lang w:val="en-US" w:eastAsia="zh-CN"/>
        </w:rPr>
        <w:t>.</w:t>
      </w:r>
    </w:p>
    <w:p w14:paraId="63CB5811" w14:textId="1F5D1813" w:rsidR="00C970B2" w:rsidRPr="00C970B2" w:rsidRDefault="00172BB7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Otro de los acápites a considerar son l</w:t>
      </w:r>
      <w:r w:rsidR="00E84565">
        <w:rPr>
          <w:rFonts w:ascii="Arial" w:hAnsi="Arial" w:cs="Arial"/>
          <w:sz w:val="24"/>
          <w:szCs w:val="24"/>
        </w:rPr>
        <w:t>os medios d</w:t>
      </w:r>
      <w:r w:rsidR="00C970B2" w:rsidRPr="00C970B2">
        <w:rPr>
          <w:rFonts w:ascii="Arial" w:hAnsi="Arial" w:cs="Arial"/>
          <w:sz w:val="24"/>
          <w:szCs w:val="24"/>
        </w:rPr>
        <w:t>iagnósticos</w:t>
      </w:r>
      <w:r w:rsidR="00E84565">
        <w:rPr>
          <w:rFonts w:ascii="Arial" w:hAnsi="Arial" w:cs="Arial"/>
          <w:sz w:val="24"/>
          <w:szCs w:val="24"/>
        </w:rPr>
        <w:t xml:space="preserve"> utilizados a nivel mundial</w:t>
      </w:r>
      <w:r>
        <w:rPr>
          <w:rFonts w:ascii="Arial" w:hAnsi="Arial" w:cs="Arial"/>
          <w:sz w:val="24"/>
          <w:szCs w:val="24"/>
        </w:rPr>
        <w:t>, que ofrecen certeza en el diagnostico e</w:t>
      </w:r>
      <w:r w:rsidR="00E84565">
        <w:rPr>
          <w:rFonts w:ascii="Arial" w:hAnsi="Arial" w:cs="Arial"/>
          <w:sz w:val="24"/>
          <w:szCs w:val="24"/>
        </w:rPr>
        <w:t xml:space="preserve"> incluyen:</w:t>
      </w:r>
    </w:p>
    <w:p w14:paraId="0AFE6CEE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DA59763" w14:textId="03BBBEB2" w:rsidR="00C970B2" w:rsidRPr="00E84565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C970B2">
        <w:rPr>
          <w:rFonts w:ascii="Arial" w:hAnsi="Arial" w:cs="Arial"/>
          <w:sz w:val="24"/>
          <w:szCs w:val="24"/>
        </w:rPr>
        <w:t>•  Niveles de hCG: La medición seriada de la gonadotropina coriónica humana (hCG) es fundamental para el diagnóstico, seguimiento y evaluación de la respuesta al tratamiento.</w:t>
      </w:r>
      <w:r w:rsidR="00E84565">
        <w:rPr>
          <w:rFonts w:ascii="Arial" w:hAnsi="Arial" w:cs="Arial"/>
          <w:sz w:val="24"/>
          <w:szCs w:val="24"/>
          <w:vertAlign w:val="superscript"/>
        </w:rPr>
        <w:t>4,8</w:t>
      </w:r>
    </w:p>
    <w:p w14:paraId="34ADA242" w14:textId="11E4586B" w:rsidR="00C970B2" w:rsidRPr="00E84565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C970B2">
        <w:rPr>
          <w:rFonts w:ascii="Arial" w:hAnsi="Arial" w:cs="Arial"/>
          <w:sz w:val="24"/>
          <w:szCs w:val="24"/>
        </w:rPr>
        <w:t>•  Ultrasonido: El ultrasonido Doppler sigue siendo una herramienta esencial para la detección temprana de la mola hidatiforme</w:t>
      </w:r>
      <w:r w:rsidR="00E84565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C970B2">
        <w:rPr>
          <w:rFonts w:ascii="Arial" w:hAnsi="Arial" w:cs="Arial"/>
          <w:sz w:val="24"/>
          <w:szCs w:val="24"/>
        </w:rPr>
        <w:t>.</w:t>
      </w:r>
      <w:r w:rsidR="00E84565">
        <w:rPr>
          <w:rFonts w:ascii="Arial" w:hAnsi="Arial" w:cs="Arial"/>
          <w:sz w:val="24"/>
          <w:szCs w:val="24"/>
          <w:vertAlign w:val="superscript"/>
        </w:rPr>
        <w:t>5,8</w:t>
      </w:r>
    </w:p>
    <w:p w14:paraId="04368A08" w14:textId="548F5CD9" w:rsidR="00C970B2" w:rsidRPr="00E84565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C970B2">
        <w:rPr>
          <w:rFonts w:ascii="Arial" w:hAnsi="Arial" w:cs="Arial"/>
          <w:sz w:val="24"/>
          <w:szCs w:val="24"/>
        </w:rPr>
        <w:t>•  Análisis Genómico: El análisis genómico (p. ej., cariotipo, hibridación genómica comparativa [CGH]) puede ayudar a distinguir entre mola completa y parcial.</w:t>
      </w:r>
      <w:r w:rsidR="00E84565">
        <w:rPr>
          <w:rFonts w:ascii="Arial" w:hAnsi="Arial" w:cs="Arial"/>
          <w:sz w:val="24"/>
          <w:szCs w:val="24"/>
          <w:vertAlign w:val="superscript"/>
        </w:rPr>
        <w:t>9</w:t>
      </w:r>
    </w:p>
    <w:p w14:paraId="0A19F118" w14:textId="4F04ECF0" w:rsidR="00C970B2" w:rsidRPr="00E84565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C970B2">
        <w:rPr>
          <w:rFonts w:ascii="Arial" w:hAnsi="Arial" w:cs="Arial"/>
          <w:sz w:val="24"/>
          <w:szCs w:val="24"/>
        </w:rPr>
        <w:t xml:space="preserve">•  Biopsia e Inmunohistoquímica: Esencial en casos sospechosos de TTSP o TTE, utilizando marcadores como </w:t>
      </w:r>
      <w:proofErr w:type="spellStart"/>
      <w:r w:rsidRPr="00C970B2">
        <w:rPr>
          <w:rFonts w:ascii="Arial" w:hAnsi="Arial" w:cs="Arial"/>
          <w:sz w:val="24"/>
          <w:szCs w:val="24"/>
        </w:rPr>
        <w:t>hPL</w:t>
      </w:r>
      <w:proofErr w:type="spellEnd"/>
      <w:r w:rsidRPr="00C970B2">
        <w:rPr>
          <w:rFonts w:ascii="Arial" w:hAnsi="Arial" w:cs="Arial"/>
          <w:sz w:val="24"/>
          <w:szCs w:val="24"/>
        </w:rPr>
        <w:t>, inhibina alfa y p63</w:t>
      </w:r>
      <w:r w:rsidR="00E84565">
        <w:rPr>
          <w:rFonts w:ascii="Arial" w:hAnsi="Arial" w:cs="Arial"/>
          <w:sz w:val="24"/>
          <w:szCs w:val="24"/>
        </w:rPr>
        <w:t>.</w:t>
      </w:r>
      <w:r w:rsidR="00E84565">
        <w:rPr>
          <w:rFonts w:ascii="Arial" w:hAnsi="Arial" w:cs="Arial"/>
          <w:sz w:val="24"/>
          <w:szCs w:val="24"/>
          <w:vertAlign w:val="superscript"/>
        </w:rPr>
        <w:t>10</w:t>
      </w:r>
    </w:p>
    <w:p w14:paraId="3F008B6F" w14:textId="7D6B6643" w:rsidR="00C970B2" w:rsidRPr="00C970B2" w:rsidRDefault="00E84565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t</w:t>
      </w:r>
      <w:r w:rsidR="00C970B2" w:rsidRPr="00C970B2">
        <w:rPr>
          <w:rFonts w:ascii="Arial" w:hAnsi="Arial" w:cs="Arial"/>
          <w:sz w:val="24"/>
          <w:szCs w:val="24"/>
        </w:rPr>
        <w:t xml:space="preserve">ratamiento </w:t>
      </w:r>
      <w:r>
        <w:rPr>
          <w:rFonts w:ascii="Arial" w:hAnsi="Arial" w:cs="Arial"/>
          <w:sz w:val="24"/>
          <w:szCs w:val="24"/>
        </w:rPr>
        <w:t>a</w:t>
      </w:r>
      <w:r w:rsidR="00C970B2" w:rsidRPr="00C970B2">
        <w:rPr>
          <w:rFonts w:ascii="Arial" w:hAnsi="Arial" w:cs="Arial"/>
          <w:sz w:val="24"/>
          <w:szCs w:val="24"/>
        </w:rPr>
        <w:t>ctualizado</w:t>
      </w:r>
      <w:r>
        <w:rPr>
          <w:rFonts w:ascii="Arial" w:hAnsi="Arial" w:cs="Arial"/>
          <w:sz w:val="24"/>
          <w:szCs w:val="24"/>
        </w:rPr>
        <w:t xml:space="preserve"> se realiza teniendo en cuenta los parámetros anteriormente mencionados, ajustándose a cada situación particular de la paciente e incluyen:</w:t>
      </w:r>
    </w:p>
    <w:p w14:paraId="12F1E6B6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>•  Quimioterapia:</w:t>
      </w:r>
    </w:p>
    <w:p w14:paraId="652C8F3C" w14:textId="3FB1BB2E" w:rsidR="00C970B2" w:rsidRPr="00E84565" w:rsidRDefault="00C970B2" w:rsidP="00E84565">
      <w:pPr>
        <w:pStyle w:val="Prrafodelista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4565">
        <w:rPr>
          <w:rFonts w:ascii="Arial" w:hAnsi="Arial" w:cs="Arial"/>
          <w:sz w:val="24"/>
          <w:szCs w:val="24"/>
        </w:rPr>
        <w:t>Bajo riesgo: Metotrexato o actinomicina D como primera línea [8].</w:t>
      </w:r>
    </w:p>
    <w:p w14:paraId="797FD6B2" w14:textId="5B617A7B" w:rsidR="00C970B2" w:rsidRPr="00E84565" w:rsidRDefault="00C970B2" w:rsidP="00E84565">
      <w:pPr>
        <w:pStyle w:val="Prrafodelista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4565">
        <w:rPr>
          <w:rFonts w:ascii="Arial" w:hAnsi="Arial" w:cs="Arial"/>
          <w:sz w:val="24"/>
          <w:szCs w:val="24"/>
        </w:rPr>
        <w:t>Alto riesgo: Regímenes combinados como EMA/CO (etopósido, metotrexato, actinomicina D, ciclofosfamida y vincristina)</w:t>
      </w:r>
      <w:r w:rsidR="00E84565">
        <w:rPr>
          <w:rFonts w:ascii="Arial" w:hAnsi="Arial" w:cs="Arial"/>
          <w:sz w:val="24"/>
          <w:szCs w:val="24"/>
          <w:vertAlign w:val="superscript"/>
        </w:rPr>
        <w:t>11</w:t>
      </w:r>
      <w:r w:rsidR="0076690E">
        <w:rPr>
          <w:rFonts w:ascii="Arial" w:hAnsi="Arial" w:cs="Arial"/>
          <w:sz w:val="24"/>
          <w:szCs w:val="24"/>
          <w:vertAlign w:val="superscript"/>
        </w:rPr>
        <w:t>,12</w:t>
      </w:r>
    </w:p>
    <w:p w14:paraId="385C6C11" w14:textId="6778CF41" w:rsidR="00C970B2" w:rsidRPr="0076690E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C970B2">
        <w:rPr>
          <w:rFonts w:ascii="Arial" w:hAnsi="Arial" w:cs="Arial"/>
          <w:sz w:val="24"/>
          <w:szCs w:val="24"/>
        </w:rPr>
        <w:t>•  Cirugía: La histerectomía puede ser considerada en pacientes con ETG persistente o que no desean tener más hijos.</w:t>
      </w:r>
      <w:r w:rsidR="0076690E">
        <w:rPr>
          <w:rFonts w:ascii="Arial" w:hAnsi="Arial" w:cs="Arial"/>
          <w:sz w:val="24"/>
          <w:szCs w:val="24"/>
          <w:vertAlign w:val="superscript"/>
        </w:rPr>
        <w:t>11,12</w:t>
      </w:r>
    </w:p>
    <w:p w14:paraId="4CAA9653" w14:textId="64D59D4F" w:rsidR="00C970B2" w:rsidRPr="0076690E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C970B2">
        <w:rPr>
          <w:rFonts w:ascii="Arial" w:hAnsi="Arial" w:cs="Arial"/>
          <w:sz w:val="24"/>
          <w:szCs w:val="24"/>
        </w:rPr>
        <w:t xml:space="preserve">•  Inmunoterapia: Los inhibidores de puntos de control inmunitario (p. ej., </w:t>
      </w:r>
      <w:proofErr w:type="spellStart"/>
      <w:r w:rsidRPr="00C970B2">
        <w:rPr>
          <w:rFonts w:ascii="Arial" w:hAnsi="Arial" w:cs="Arial"/>
          <w:sz w:val="24"/>
          <w:szCs w:val="24"/>
        </w:rPr>
        <w:t>pembrolizumab</w:t>
      </w:r>
      <w:proofErr w:type="spellEnd"/>
      <w:r w:rsidRPr="00C970B2">
        <w:rPr>
          <w:rFonts w:ascii="Arial" w:hAnsi="Arial" w:cs="Arial"/>
          <w:sz w:val="24"/>
          <w:szCs w:val="24"/>
        </w:rPr>
        <w:t>) se están explorando en casos refractarios</w:t>
      </w:r>
      <w:r w:rsidR="0076690E">
        <w:rPr>
          <w:rFonts w:ascii="Arial" w:hAnsi="Arial" w:cs="Arial"/>
          <w:sz w:val="24"/>
          <w:szCs w:val="24"/>
        </w:rPr>
        <w:t>.</w:t>
      </w:r>
      <w:r w:rsidR="0076690E">
        <w:rPr>
          <w:rFonts w:ascii="Arial" w:hAnsi="Arial" w:cs="Arial"/>
          <w:sz w:val="24"/>
          <w:szCs w:val="24"/>
          <w:vertAlign w:val="superscript"/>
        </w:rPr>
        <w:t>11,12</w:t>
      </w:r>
    </w:p>
    <w:p w14:paraId="4755D94D" w14:textId="79511387" w:rsidR="00C970B2" w:rsidRPr="0076690E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C970B2">
        <w:rPr>
          <w:rFonts w:ascii="Arial" w:hAnsi="Arial" w:cs="Arial"/>
          <w:sz w:val="24"/>
          <w:szCs w:val="24"/>
        </w:rPr>
        <w:t>•  Terapias Dirigidas: La investigación sobre inhibidores de tirosina quinasa está en curso.</w:t>
      </w:r>
      <w:r w:rsidR="0076690E">
        <w:rPr>
          <w:rFonts w:ascii="Arial" w:hAnsi="Arial" w:cs="Arial"/>
          <w:sz w:val="24"/>
          <w:szCs w:val="24"/>
          <w:vertAlign w:val="superscript"/>
        </w:rPr>
        <w:t>11,12</w:t>
      </w:r>
    </w:p>
    <w:p w14:paraId="437E2F12" w14:textId="36672911" w:rsid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9F30F1" w14:textId="2C255722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8C7511" w14:textId="3A73CC1E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76A648F" w14:textId="17A06445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F3365E2" w14:textId="71D87F7E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9FF04C" w14:textId="27D26043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CC3BD36" w14:textId="0C3E966A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1D1328" w14:textId="6E74DDA4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67BCF0" w14:textId="6AC80D70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B8821E" w14:textId="1C647944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58CDA4D" w14:textId="179FA972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34DA153" w14:textId="77777777" w:rsidR="0076690E" w:rsidRPr="00C970B2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74EF266" w14:textId="2432AB45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lastRenderedPageBreak/>
        <w:t>Conclusiones</w:t>
      </w:r>
    </w:p>
    <w:p w14:paraId="7775D6DE" w14:textId="39EF6188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La </w:t>
      </w:r>
      <w:r w:rsidR="0076690E">
        <w:rPr>
          <w:rFonts w:ascii="Arial" w:hAnsi="Arial" w:cs="Arial"/>
          <w:sz w:val="24"/>
          <w:szCs w:val="24"/>
        </w:rPr>
        <w:t xml:space="preserve">ETG </w:t>
      </w:r>
      <w:r w:rsidRPr="00C970B2">
        <w:rPr>
          <w:rFonts w:ascii="Arial" w:hAnsi="Arial" w:cs="Arial"/>
          <w:sz w:val="24"/>
          <w:szCs w:val="24"/>
        </w:rPr>
        <w:t>requiere un enfoque multidisciplinario y actualizado para garantizar un manejo óptimo</w:t>
      </w:r>
      <w:r w:rsidR="0076690E">
        <w:rPr>
          <w:rFonts w:ascii="Arial" w:hAnsi="Arial" w:cs="Arial"/>
          <w:sz w:val="24"/>
          <w:szCs w:val="24"/>
        </w:rPr>
        <w:t>, así como l</w:t>
      </w:r>
      <w:r w:rsidR="0076690E" w:rsidRPr="0076690E">
        <w:rPr>
          <w:rFonts w:ascii="Arial" w:hAnsi="Arial" w:cs="Arial"/>
          <w:sz w:val="24"/>
          <w:szCs w:val="24"/>
        </w:rPr>
        <w:t>a implementación de guías de práctica clínica actualizadas basadas en la evidencia.</w:t>
      </w:r>
      <w:r w:rsidRPr="00C970B2">
        <w:rPr>
          <w:rFonts w:ascii="Arial" w:hAnsi="Arial" w:cs="Arial"/>
          <w:sz w:val="24"/>
          <w:szCs w:val="24"/>
        </w:rPr>
        <w:t xml:space="preserve"> Los avances en el diagnóstico molecular y las terapias dirigidas ofrecen perspectivas prometedoras para mejorar los resultados clínicos</w:t>
      </w:r>
      <w:r w:rsidR="0076690E">
        <w:rPr>
          <w:rFonts w:ascii="Arial" w:hAnsi="Arial" w:cs="Arial"/>
          <w:sz w:val="24"/>
          <w:szCs w:val="24"/>
        </w:rPr>
        <w:t xml:space="preserve">. </w:t>
      </w:r>
      <w:r w:rsidRPr="00C970B2">
        <w:rPr>
          <w:rFonts w:ascii="Arial" w:hAnsi="Arial" w:cs="Arial"/>
          <w:sz w:val="24"/>
          <w:szCs w:val="24"/>
        </w:rPr>
        <w:t>El fortalecimiento de la vigilancia epidemiológica para comprender mejor la carga de la enfermedad en diferentes poblaciones</w:t>
      </w:r>
      <w:r w:rsidR="00172BB7">
        <w:rPr>
          <w:rFonts w:ascii="Arial" w:hAnsi="Arial" w:cs="Arial"/>
          <w:sz w:val="24"/>
          <w:szCs w:val="24"/>
        </w:rPr>
        <w:t xml:space="preserve"> es de vital importancia</w:t>
      </w:r>
      <w:r w:rsidRPr="00C970B2">
        <w:rPr>
          <w:rFonts w:ascii="Arial" w:hAnsi="Arial" w:cs="Arial"/>
          <w:sz w:val="24"/>
          <w:szCs w:val="24"/>
        </w:rPr>
        <w:t>.</w:t>
      </w:r>
    </w:p>
    <w:p w14:paraId="7EC0FC41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CF9BF64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58E070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7134AB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0BFEB5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32D94C7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9D74B9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80B473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C2C3DA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01D2F4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701CE05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4E8245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9B5B81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B3DB1EB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BD71E0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0E41AEE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4DF6B0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AA61F9D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3C197A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DD2D92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11F964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3E4743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7A3C5D2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30BF42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92637C" w14:textId="77777777" w:rsidR="0076690E" w:rsidRDefault="0076690E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EF359B" w14:textId="6DE93B3C" w:rsidR="00C970B2" w:rsidRPr="00C970B2" w:rsidRDefault="00E84565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Referencia </w:t>
      </w:r>
      <w:r w:rsidR="0076690E">
        <w:rPr>
          <w:rFonts w:ascii="Arial" w:hAnsi="Arial" w:cs="Arial"/>
          <w:sz w:val="24"/>
          <w:szCs w:val="24"/>
        </w:rPr>
        <w:t>Bibliográficas</w:t>
      </w:r>
    </w:p>
    <w:p w14:paraId="77E851C6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1. Smith A, Jones B, et al. Management </w:t>
      </w:r>
      <w:proofErr w:type="spellStart"/>
      <w:r w:rsidRPr="00C970B2">
        <w:rPr>
          <w:rFonts w:ascii="Arial" w:hAnsi="Arial" w:cs="Arial"/>
          <w:sz w:val="24"/>
          <w:szCs w:val="24"/>
        </w:rPr>
        <w:t>of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gestational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trophoblastic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disease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970B2">
        <w:rPr>
          <w:rFonts w:ascii="Arial" w:hAnsi="Arial" w:cs="Arial"/>
          <w:sz w:val="24"/>
          <w:szCs w:val="24"/>
        </w:rPr>
        <w:t>Update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970B2">
        <w:rPr>
          <w:rFonts w:ascii="Arial" w:hAnsi="Arial" w:cs="Arial"/>
          <w:sz w:val="24"/>
          <w:szCs w:val="24"/>
        </w:rPr>
        <w:t>controversies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. Am J </w:t>
      </w:r>
      <w:proofErr w:type="spellStart"/>
      <w:r w:rsidRPr="00C970B2">
        <w:rPr>
          <w:rFonts w:ascii="Arial" w:hAnsi="Arial" w:cs="Arial"/>
          <w:sz w:val="24"/>
          <w:szCs w:val="24"/>
        </w:rPr>
        <w:t>Obstet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Gynecol</w:t>
      </w:r>
      <w:proofErr w:type="spellEnd"/>
      <w:r w:rsidRPr="00C970B2">
        <w:rPr>
          <w:rFonts w:ascii="Arial" w:hAnsi="Arial" w:cs="Arial"/>
          <w:sz w:val="24"/>
          <w:szCs w:val="24"/>
        </w:rPr>
        <w:t>. 2023;228(3):256-265.</w:t>
      </w:r>
    </w:p>
    <w:p w14:paraId="26960A4C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2. Lee C, Park D, et al. </w:t>
      </w:r>
      <w:proofErr w:type="spellStart"/>
      <w:r w:rsidRPr="00C970B2">
        <w:rPr>
          <w:rFonts w:ascii="Arial" w:hAnsi="Arial" w:cs="Arial"/>
          <w:sz w:val="24"/>
          <w:szCs w:val="24"/>
        </w:rPr>
        <w:t>Genomic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landscape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of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gestational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trophoblastic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neoplasia. </w:t>
      </w:r>
      <w:proofErr w:type="spellStart"/>
      <w:r w:rsidRPr="00C970B2">
        <w:rPr>
          <w:rFonts w:ascii="Arial" w:hAnsi="Arial" w:cs="Arial"/>
          <w:sz w:val="24"/>
          <w:szCs w:val="24"/>
        </w:rPr>
        <w:t>Gynecol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Oncol. 2022;166(2):321-329.</w:t>
      </w:r>
    </w:p>
    <w:p w14:paraId="6515D8B4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3. Brown E, White F, et al. </w:t>
      </w:r>
      <w:proofErr w:type="spellStart"/>
      <w:r w:rsidRPr="00C970B2">
        <w:rPr>
          <w:rFonts w:ascii="Arial" w:hAnsi="Arial" w:cs="Arial"/>
          <w:sz w:val="24"/>
          <w:szCs w:val="24"/>
        </w:rPr>
        <w:t>Immunotherapy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C970B2">
        <w:rPr>
          <w:rFonts w:ascii="Arial" w:hAnsi="Arial" w:cs="Arial"/>
          <w:sz w:val="24"/>
          <w:szCs w:val="24"/>
        </w:rPr>
        <w:t>refractory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gestational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trophoblastic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neoplasia: A </w:t>
      </w:r>
      <w:proofErr w:type="spellStart"/>
      <w:r w:rsidRPr="00C970B2">
        <w:rPr>
          <w:rFonts w:ascii="Arial" w:hAnsi="Arial" w:cs="Arial"/>
          <w:sz w:val="24"/>
          <w:szCs w:val="24"/>
        </w:rPr>
        <w:t>systematic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review. </w:t>
      </w:r>
      <w:proofErr w:type="spellStart"/>
      <w:r w:rsidRPr="00C970B2">
        <w:rPr>
          <w:rFonts w:ascii="Arial" w:hAnsi="Arial" w:cs="Arial"/>
          <w:sz w:val="24"/>
          <w:szCs w:val="24"/>
        </w:rPr>
        <w:t>Int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J </w:t>
      </w:r>
      <w:proofErr w:type="spellStart"/>
      <w:r w:rsidRPr="00C970B2">
        <w:rPr>
          <w:rFonts w:ascii="Arial" w:hAnsi="Arial" w:cs="Arial"/>
          <w:sz w:val="24"/>
          <w:szCs w:val="24"/>
        </w:rPr>
        <w:t>Gynecol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Cancer</w:t>
      </w:r>
      <w:proofErr w:type="spellEnd"/>
      <w:r w:rsidRPr="00C970B2">
        <w:rPr>
          <w:rFonts w:ascii="Arial" w:hAnsi="Arial" w:cs="Arial"/>
          <w:sz w:val="24"/>
          <w:szCs w:val="24"/>
        </w:rPr>
        <w:t>. 2021;31(11):1567-1575.</w:t>
      </w:r>
    </w:p>
    <w:p w14:paraId="12275C17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4. Kim J, Choi K, et al. </w:t>
      </w:r>
      <w:proofErr w:type="spellStart"/>
      <w:r w:rsidRPr="00C970B2">
        <w:rPr>
          <w:rFonts w:ascii="Arial" w:hAnsi="Arial" w:cs="Arial"/>
          <w:sz w:val="24"/>
          <w:szCs w:val="24"/>
        </w:rPr>
        <w:t>Diagnostic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970B2">
        <w:rPr>
          <w:rFonts w:ascii="Arial" w:hAnsi="Arial" w:cs="Arial"/>
          <w:sz w:val="24"/>
          <w:szCs w:val="24"/>
        </w:rPr>
        <w:t>prognostic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biomarkers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C970B2">
        <w:rPr>
          <w:rFonts w:ascii="Arial" w:hAnsi="Arial" w:cs="Arial"/>
          <w:sz w:val="24"/>
          <w:szCs w:val="24"/>
        </w:rPr>
        <w:t>gestational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trophoblastic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disease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: A comprehensive review. Placenta. </w:t>
      </w:r>
      <w:proofErr w:type="gramStart"/>
      <w:r w:rsidRPr="00C970B2">
        <w:rPr>
          <w:rFonts w:ascii="Arial" w:hAnsi="Arial" w:cs="Arial"/>
          <w:sz w:val="24"/>
          <w:szCs w:val="24"/>
        </w:rPr>
        <w:t>2020;99:102</w:t>
      </w:r>
      <w:proofErr w:type="gramEnd"/>
      <w:r w:rsidRPr="00C970B2">
        <w:rPr>
          <w:rFonts w:ascii="Arial" w:hAnsi="Arial" w:cs="Arial"/>
          <w:sz w:val="24"/>
          <w:szCs w:val="24"/>
        </w:rPr>
        <w:t>-110.</w:t>
      </w:r>
    </w:p>
    <w:p w14:paraId="0B04AB03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5. </w:t>
      </w:r>
      <w:proofErr w:type="spellStart"/>
      <w:r w:rsidRPr="00C970B2">
        <w:rPr>
          <w:rFonts w:ascii="Arial" w:hAnsi="Arial" w:cs="Arial"/>
          <w:sz w:val="24"/>
          <w:szCs w:val="24"/>
        </w:rPr>
        <w:t>National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Comprehensive </w:t>
      </w:r>
      <w:proofErr w:type="spellStart"/>
      <w:r w:rsidRPr="00C970B2">
        <w:rPr>
          <w:rFonts w:ascii="Arial" w:hAnsi="Arial" w:cs="Arial"/>
          <w:sz w:val="24"/>
          <w:szCs w:val="24"/>
        </w:rPr>
        <w:t>Cancer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Network (NCCN). NCCN </w:t>
      </w:r>
      <w:proofErr w:type="spellStart"/>
      <w:r w:rsidRPr="00C970B2">
        <w:rPr>
          <w:rFonts w:ascii="Arial" w:hAnsi="Arial" w:cs="Arial"/>
          <w:sz w:val="24"/>
          <w:szCs w:val="24"/>
        </w:rPr>
        <w:t>Clinical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Practice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Guidelines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C970B2">
        <w:rPr>
          <w:rFonts w:ascii="Arial" w:hAnsi="Arial" w:cs="Arial"/>
          <w:sz w:val="24"/>
          <w:szCs w:val="24"/>
        </w:rPr>
        <w:t>Oncology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970B2">
        <w:rPr>
          <w:rFonts w:ascii="Arial" w:hAnsi="Arial" w:cs="Arial"/>
          <w:sz w:val="24"/>
          <w:szCs w:val="24"/>
        </w:rPr>
        <w:t>Gestational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Trophoblastic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Neoplasia. </w:t>
      </w:r>
      <w:proofErr w:type="spellStart"/>
      <w:r w:rsidRPr="00C970B2">
        <w:rPr>
          <w:rFonts w:ascii="Arial" w:hAnsi="Arial" w:cs="Arial"/>
          <w:sz w:val="24"/>
          <w:szCs w:val="24"/>
        </w:rPr>
        <w:t>Version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1.2024. [URL de la NCCN]</w:t>
      </w:r>
    </w:p>
    <w:p w14:paraId="4D213E99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6. </w:t>
      </w:r>
      <w:proofErr w:type="spellStart"/>
      <w:r w:rsidRPr="00C970B2">
        <w:rPr>
          <w:rFonts w:ascii="Arial" w:hAnsi="Arial" w:cs="Arial"/>
          <w:sz w:val="24"/>
          <w:szCs w:val="24"/>
        </w:rPr>
        <w:t>Lurain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JR, Singh DK. Management </w:t>
      </w:r>
      <w:proofErr w:type="spellStart"/>
      <w:r w:rsidRPr="00C970B2">
        <w:rPr>
          <w:rFonts w:ascii="Arial" w:hAnsi="Arial" w:cs="Arial"/>
          <w:sz w:val="24"/>
          <w:szCs w:val="24"/>
        </w:rPr>
        <w:t>of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metastatic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high-risk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gestational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trophoblastic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neoplasia. J </w:t>
      </w:r>
      <w:proofErr w:type="spellStart"/>
      <w:r w:rsidRPr="00C970B2">
        <w:rPr>
          <w:rFonts w:ascii="Arial" w:hAnsi="Arial" w:cs="Arial"/>
          <w:sz w:val="24"/>
          <w:szCs w:val="24"/>
        </w:rPr>
        <w:t>Reprod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Med</w:t>
      </w:r>
      <w:proofErr w:type="spellEnd"/>
      <w:r w:rsidRPr="00C970B2">
        <w:rPr>
          <w:rFonts w:ascii="Arial" w:hAnsi="Arial" w:cs="Arial"/>
          <w:sz w:val="24"/>
          <w:szCs w:val="24"/>
        </w:rPr>
        <w:t>. 2019;64(7-8):421-430.</w:t>
      </w:r>
    </w:p>
    <w:p w14:paraId="21EAC0E4" w14:textId="1BF28EC2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7. Osório L, </w:t>
      </w:r>
      <w:proofErr w:type="spellStart"/>
      <w:r w:rsidRPr="00C970B2">
        <w:rPr>
          <w:rFonts w:ascii="Arial" w:hAnsi="Arial" w:cs="Arial"/>
          <w:sz w:val="24"/>
          <w:szCs w:val="24"/>
        </w:rPr>
        <w:t>Signorini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F, et al. </w:t>
      </w:r>
      <w:proofErr w:type="spellStart"/>
      <w:r w:rsidRPr="00C970B2">
        <w:rPr>
          <w:rFonts w:ascii="Arial" w:hAnsi="Arial" w:cs="Arial"/>
          <w:sz w:val="24"/>
          <w:szCs w:val="24"/>
        </w:rPr>
        <w:t>Update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on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the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classification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of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gestational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trophoblastic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diseases</w:t>
      </w:r>
      <w:proofErr w:type="spellEnd"/>
    </w:p>
    <w:p w14:paraId="45F6BC93" w14:textId="22780224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FIGO </w:t>
      </w:r>
      <w:proofErr w:type="spellStart"/>
      <w:r w:rsidRPr="00C970B2">
        <w:rPr>
          <w:rFonts w:ascii="Arial" w:hAnsi="Arial" w:cs="Arial"/>
          <w:sz w:val="24"/>
          <w:szCs w:val="24"/>
        </w:rPr>
        <w:t>staging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Pr="00C970B2">
        <w:rPr>
          <w:rFonts w:ascii="Arial" w:hAnsi="Arial" w:cs="Arial"/>
          <w:sz w:val="24"/>
          <w:szCs w:val="24"/>
        </w:rPr>
        <w:t>Best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Pract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Res Clin </w:t>
      </w:r>
      <w:proofErr w:type="spellStart"/>
      <w:r w:rsidRPr="00C970B2">
        <w:rPr>
          <w:rFonts w:ascii="Arial" w:hAnsi="Arial" w:cs="Arial"/>
          <w:sz w:val="24"/>
          <w:szCs w:val="24"/>
        </w:rPr>
        <w:t>Obstet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Gynaecol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C970B2">
        <w:rPr>
          <w:rFonts w:ascii="Arial" w:hAnsi="Arial" w:cs="Arial"/>
          <w:sz w:val="24"/>
          <w:szCs w:val="24"/>
        </w:rPr>
        <w:t>2021;72:2</w:t>
      </w:r>
      <w:proofErr w:type="gramEnd"/>
      <w:r w:rsidRPr="00C970B2">
        <w:rPr>
          <w:rFonts w:ascii="Arial" w:hAnsi="Arial" w:cs="Arial"/>
          <w:sz w:val="24"/>
          <w:szCs w:val="24"/>
        </w:rPr>
        <w:t>-14.</w:t>
      </w:r>
    </w:p>
    <w:p w14:paraId="25AD33C3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8. Wong A, et al. </w:t>
      </w:r>
      <w:proofErr w:type="spellStart"/>
      <w:r w:rsidRPr="00C970B2">
        <w:rPr>
          <w:rFonts w:ascii="Arial" w:hAnsi="Arial" w:cs="Arial"/>
          <w:sz w:val="24"/>
          <w:szCs w:val="24"/>
        </w:rPr>
        <w:t>The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Role </w:t>
      </w:r>
      <w:proofErr w:type="spellStart"/>
      <w:r w:rsidRPr="00C970B2">
        <w:rPr>
          <w:rFonts w:ascii="Arial" w:hAnsi="Arial" w:cs="Arial"/>
          <w:sz w:val="24"/>
          <w:szCs w:val="24"/>
        </w:rPr>
        <w:t>of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Checkpoint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Inhibitors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C970B2">
        <w:rPr>
          <w:rFonts w:ascii="Arial" w:hAnsi="Arial" w:cs="Arial"/>
          <w:sz w:val="24"/>
          <w:szCs w:val="24"/>
        </w:rPr>
        <w:t>the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Management </w:t>
      </w:r>
      <w:proofErr w:type="spellStart"/>
      <w:r w:rsidRPr="00C970B2">
        <w:rPr>
          <w:rFonts w:ascii="Arial" w:hAnsi="Arial" w:cs="Arial"/>
          <w:sz w:val="24"/>
          <w:szCs w:val="24"/>
        </w:rPr>
        <w:t>of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Refractory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Gestational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Trophoblastic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Neoplasia: A </w:t>
      </w:r>
      <w:proofErr w:type="spellStart"/>
      <w:r w:rsidRPr="00C970B2">
        <w:rPr>
          <w:rFonts w:ascii="Arial" w:hAnsi="Arial" w:cs="Arial"/>
          <w:sz w:val="24"/>
          <w:szCs w:val="24"/>
        </w:rPr>
        <w:t>Systematic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Review. </w:t>
      </w:r>
      <w:proofErr w:type="spellStart"/>
      <w:r w:rsidRPr="00C970B2">
        <w:rPr>
          <w:rFonts w:ascii="Arial" w:hAnsi="Arial" w:cs="Arial"/>
          <w:sz w:val="24"/>
          <w:szCs w:val="24"/>
        </w:rPr>
        <w:t>Int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J </w:t>
      </w:r>
      <w:proofErr w:type="spellStart"/>
      <w:r w:rsidRPr="00C970B2">
        <w:rPr>
          <w:rFonts w:ascii="Arial" w:hAnsi="Arial" w:cs="Arial"/>
          <w:sz w:val="24"/>
          <w:szCs w:val="24"/>
        </w:rPr>
        <w:t>Gynecol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Cancer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. 2023 </w:t>
      </w:r>
      <w:proofErr w:type="gramStart"/>
      <w:r w:rsidRPr="00C970B2">
        <w:rPr>
          <w:rFonts w:ascii="Arial" w:hAnsi="Arial" w:cs="Arial"/>
          <w:sz w:val="24"/>
          <w:szCs w:val="24"/>
        </w:rPr>
        <w:t>Nov</w:t>
      </w:r>
      <w:proofErr w:type="gramEnd"/>
      <w:r w:rsidRPr="00C970B2">
        <w:rPr>
          <w:rFonts w:ascii="Arial" w:hAnsi="Arial" w:cs="Arial"/>
          <w:sz w:val="24"/>
          <w:szCs w:val="24"/>
        </w:rPr>
        <w:t xml:space="preserve"> 21;33(11):1629-1637.</w:t>
      </w:r>
    </w:p>
    <w:p w14:paraId="00A789F3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>9. Smith, A., et al. "</w:t>
      </w:r>
      <w:proofErr w:type="spellStart"/>
      <w:r w:rsidRPr="00C970B2">
        <w:rPr>
          <w:rFonts w:ascii="Arial" w:hAnsi="Arial" w:cs="Arial"/>
          <w:sz w:val="24"/>
          <w:szCs w:val="24"/>
        </w:rPr>
        <w:t>Clinical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970B2">
        <w:rPr>
          <w:rFonts w:ascii="Arial" w:hAnsi="Arial" w:cs="Arial"/>
          <w:sz w:val="24"/>
          <w:szCs w:val="24"/>
        </w:rPr>
        <w:t>Economic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Outcomes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of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First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-Line </w:t>
      </w:r>
      <w:proofErr w:type="spellStart"/>
      <w:r w:rsidRPr="00C970B2">
        <w:rPr>
          <w:rFonts w:ascii="Arial" w:hAnsi="Arial" w:cs="Arial"/>
          <w:sz w:val="24"/>
          <w:szCs w:val="24"/>
        </w:rPr>
        <w:t>Methotrexate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Versus </w:t>
      </w:r>
      <w:proofErr w:type="spellStart"/>
      <w:r w:rsidRPr="00C970B2">
        <w:rPr>
          <w:rFonts w:ascii="Arial" w:hAnsi="Arial" w:cs="Arial"/>
          <w:sz w:val="24"/>
          <w:szCs w:val="24"/>
        </w:rPr>
        <w:t>Actinomycin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-D </w:t>
      </w:r>
      <w:proofErr w:type="spellStart"/>
      <w:r w:rsidRPr="00C970B2">
        <w:rPr>
          <w:rFonts w:ascii="Arial" w:hAnsi="Arial" w:cs="Arial"/>
          <w:sz w:val="24"/>
          <w:szCs w:val="24"/>
        </w:rPr>
        <w:t>for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Low-</w:t>
      </w:r>
      <w:proofErr w:type="spellStart"/>
      <w:r w:rsidRPr="00C970B2">
        <w:rPr>
          <w:rFonts w:ascii="Arial" w:hAnsi="Arial" w:cs="Arial"/>
          <w:sz w:val="24"/>
          <w:szCs w:val="24"/>
        </w:rPr>
        <w:t>Risk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Gestational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Trophoblastic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Neoplasia." </w:t>
      </w:r>
      <w:proofErr w:type="spellStart"/>
      <w:r w:rsidRPr="00C970B2">
        <w:rPr>
          <w:rFonts w:ascii="Arial" w:hAnsi="Arial" w:cs="Arial"/>
          <w:sz w:val="24"/>
          <w:szCs w:val="24"/>
        </w:rPr>
        <w:t>Gynecologic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Oncology</w:t>
      </w:r>
      <w:proofErr w:type="spellEnd"/>
      <w:r w:rsidRPr="00C970B2">
        <w:rPr>
          <w:rFonts w:ascii="Arial" w:hAnsi="Arial" w:cs="Arial"/>
          <w:sz w:val="24"/>
          <w:szCs w:val="24"/>
        </w:rPr>
        <w:t>, vol. 168, no. 2, 2023, pp. 231-237.</w:t>
      </w:r>
    </w:p>
    <w:p w14:paraId="3663D50B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>10. Rossi, E., et al. "Long-</w:t>
      </w:r>
      <w:proofErr w:type="spellStart"/>
      <w:r w:rsidRPr="00C970B2">
        <w:rPr>
          <w:rFonts w:ascii="Arial" w:hAnsi="Arial" w:cs="Arial"/>
          <w:sz w:val="24"/>
          <w:szCs w:val="24"/>
        </w:rPr>
        <w:t>Term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Follow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-Up after </w:t>
      </w:r>
      <w:proofErr w:type="spellStart"/>
      <w:r w:rsidRPr="00C970B2">
        <w:rPr>
          <w:rFonts w:ascii="Arial" w:hAnsi="Arial" w:cs="Arial"/>
          <w:sz w:val="24"/>
          <w:szCs w:val="24"/>
        </w:rPr>
        <w:t>Gestational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Trophoblastic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Disease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: A Retrospective </w:t>
      </w:r>
      <w:proofErr w:type="spellStart"/>
      <w:r w:rsidRPr="00C970B2">
        <w:rPr>
          <w:rFonts w:ascii="Arial" w:hAnsi="Arial" w:cs="Arial"/>
          <w:sz w:val="24"/>
          <w:szCs w:val="24"/>
        </w:rPr>
        <w:t>Cohort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Study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." </w:t>
      </w:r>
      <w:proofErr w:type="spellStart"/>
      <w:r w:rsidRPr="00C970B2">
        <w:rPr>
          <w:rFonts w:ascii="Arial" w:hAnsi="Arial" w:cs="Arial"/>
          <w:sz w:val="24"/>
          <w:szCs w:val="24"/>
        </w:rPr>
        <w:t>Journal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of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Obstetrics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970B2">
        <w:rPr>
          <w:rFonts w:ascii="Arial" w:hAnsi="Arial" w:cs="Arial"/>
          <w:sz w:val="24"/>
          <w:szCs w:val="24"/>
        </w:rPr>
        <w:t>Gynaecology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Research</w:t>
      </w:r>
      <w:proofErr w:type="spellEnd"/>
      <w:r w:rsidRPr="00C970B2">
        <w:rPr>
          <w:rFonts w:ascii="Arial" w:hAnsi="Arial" w:cs="Arial"/>
          <w:sz w:val="24"/>
          <w:szCs w:val="24"/>
        </w:rPr>
        <w:t>, vol. 47, no. 5, 2021, pp. 1701-1708.</w:t>
      </w:r>
    </w:p>
    <w:p w14:paraId="2EF0CF74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11. Goldstein DP, Berkowitz RS. </w:t>
      </w:r>
      <w:proofErr w:type="spellStart"/>
      <w:r w:rsidRPr="00C970B2">
        <w:rPr>
          <w:rFonts w:ascii="Arial" w:hAnsi="Arial" w:cs="Arial"/>
          <w:sz w:val="24"/>
          <w:szCs w:val="24"/>
        </w:rPr>
        <w:t>Gestational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trophoblastic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neoplasia. In: </w:t>
      </w:r>
      <w:proofErr w:type="spellStart"/>
      <w:r w:rsidRPr="00C970B2">
        <w:rPr>
          <w:rFonts w:ascii="Arial" w:hAnsi="Arial" w:cs="Arial"/>
          <w:sz w:val="24"/>
          <w:szCs w:val="24"/>
        </w:rPr>
        <w:t>Berek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Pr="00C970B2">
        <w:rPr>
          <w:rFonts w:ascii="Arial" w:hAnsi="Arial" w:cs="Arial"/>
          <w:sz w:val="24"/>
          <w:szCs w:val="24"/>
        </w:rPr>
        <w:t>Novak's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Gynecology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. 16th ed. </w:t>
      </w:r>
      <w:proofErr w:type="spellStart"/>
      <w:r w:rsidRPr="00C970B2">
        <w:rPr>
          <w:rFonts w:ascii="Arial" w:hAnsi="Arial" w:cs="Arial"/>
          <w:sz w:val="24"/>
          <w:szCs w:val="24"/>
        </w:rPr>
        <w:t>Philadelphia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, PA: Wolters </w:t>
      </w:r>
      <w:proofErr w:type="spellStart"/>
      <w:r w:rsidRPr="00C970B2">
        <w:rPr>
          <w:rFonts w:ascii="Arial" w:hAnsi="Arial" w:cs="Arial"/>
          <w:sz w:val="24"/>
          <w:szCs w:val="24"/>
        </w:rPr>
        <w:t>Kluwer</w:t>
      </w:r>
      <w:proofErr w:type="spellEnd"/>
      <w:r w:rsidRPr="00C970B2">
        <w:rPr>
          <w:rFonts w:ascii="Arial" w:hAnsi="Arial" w:cs="Arial"/>
          <w:sz w:val="24"/>
          <w:szCs w:val="24"/>
        </w:rPr>
        <w:t>; 2020:1183-1202.</w:t>
      </w:r>
    </w:p>
    <w:p w14:paraId="67536CE1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0B2">
        <w:rPr>
          <w:rFonts w:ascii="Arial" w:hAnsi="Arial" w:cs="Arial"/>
          <w:sz w:val="24"/>
          <w:szCs w:val="24"/>
        </w:rPr>
        <w:t xml:space="preserve">12. Braga, A., </w:t>
      </w:r>
      <w:proofErr w:type="spellStart"/>
      <w:r w:rsidRPr="00C970B2">
        <w:rPr>
          <w:rFonts w:ascii="Arial" w:hAnsi="Arial" w:cs="Arial"/>
          <w:sz w:val="24"/>
          <w:szCs w:val="24"/>
        </w:rPr>
        <w:t>Uberti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, E. M., &amp; </w:t>
      </w:r>
      <w:proofErr w:type="spellStart"/>
      <w:r w:rsidRPr="00C970B2">
        <w:rPr>
          <w:rFonts w:ascii="Arial" w:hAnsi="Arial" w:cs="Arial"/>
          <w:sz w:val="24"/>
          <w:szCs w:val="24"/>
        </w:rPr>
        <w:t>Fetner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, G. (2021). Diagnosis and </w:t>
      </w:r>
      <w:proofErr w:type="spellStart"/>
      <w:r w:rsidRPr="00C970B2">
        <w:rPr>
          <w:rFonts w:ascii="Arial" w:hAnsi="Arial" w:cs="Arial"/>
          <w:sz w:val="24"/>
          <w:szCs w:val="24"/>
        </w:rPr>
        <w:t>management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of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gestational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trophoblastic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disease</w:t>
      </w:r>
      <w:proofErr w:type="spellEnd"/>
      <w:r w:rsidRPr="00C970B2">
        <w:rPr>
          <w:rFonts w:ascii="Arial" w:hAnsi="Arial" w:cs="Arial"/>
          <w:sz w:val="24"/>
          <w:szCs w:val="24"/>
        </w:rPr>
        <w:t>. BMJ (</w:t>
      </w:r>
      <w:proofErr w:type="spellStart"/>
      <w:r w:rsidRPr="00C970B2">
        <w:rPr>
          <w:rFonts w:ascii="Arial" w:hAnsi="Arial" w:cs="Arial"/>
          <w:sz w:val="24"/>
          <w:szCs w:val="24"/>
        </w:rPr>
        <w:t>Clinical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70B2">
        <w:rPr>
          <w:rFonts w:ascii="Arial" w:hAnsi="Arial" w:cs="Arial"/>
          <w:sz w:val="24"/>
          <w:szCs w:val="24"/>
        </w:rPr>
        <w:t>Research</w:t>
      </w:r>
      <w:proofErr w:type="spellEnd"/>
      <w:r w:rsidRPr="00C970B2">
        <w:rPr>
          <w:rFonts w:ascii="Arial" w:hAnsi="Arial" w:cs="Arial"/>
          <w:sz w:val="24"/>
          <w:szCs w:val="24"/>
        </w:rPr>
        <w:t xml:space="preserve"> Ed.), × 372 ×, n81.</w:t>
      </w:r>
    </w:p>
    <w:p w14:paraId="0684E87B" w14:textId="77777777" w:rsidR="00C970B2" w:rsidRPr="00C970B2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540978" w14:textId="2F23F332" w:rsidR="00C970B2" w:rsidRPr="00831B9D" w:rsidRDefault="00C970B2" w:rsidP="00C97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C970B2" w:rsidRPr="00831B9D" w:rsidSect="003F6F9F">
      <w:headerReference w:type="default" r:id="rId7"/>
      <w:footerReference w:type="default" r:id="rId8"/>
      <w:pgSz w:w="12240" w:h="15840" w:code="1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E7C0B" w14:textId="77777777" w:rsidR="00D7307B" w:rsidRDefault="00D7307B" w:rsidP="00D9063D">
      <w:pPr>
        <w:spacing w:after="0" w:line="240" w:lineRule="auto"/>
      </w:pPr>
      <w:r>
        <w:separator/>
      </w:r>
    </w:p>
  </w:endnote>
  <w:endnote w:type="continuationSeparator" w:id="0">
    <w:p w14:paraId="53CCA8F0" w14:textId="77777777" w:rsidR="00D7307B" w:rsidRDefault="00D7307B" w:rsidP="00D90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0960374"/>
      <w:docPartObj>
        <w:docPartGallery w:val="Page Numbers (Bottom of Page)"/>
        <w:docPartUnique/>
      </w:docPartObj>
    </w:sdtPr>
    <w:sdtContent>
      <w:p w14:paraId="5934EE97" w14:textId="6B9F6C01" w:rsidR="003F6F9F" w:rsidRDefault="003F6F9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D4224F" w14:textId="77777777" w:rsidR="003F6F9F" w:rsidRDefault="003F6F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4FF6C" w14:textId="77777777" w:rsidR="00D7307B" w:rsidRDefault="00D7307B" w:rsidP="00D9063D">
      <w:pPr>
        <w:spacing w:after="0" w:line="240" w:lineRule="auto"/>
      </w:pPr>
      <w:r>
        <w:separator/>
      </w:r>
    </w:p>
  </w:footnote>
  <w:footnote w:type="continuationSeparator" w:id="0">
    <w:p w14:paraId="6A7E31E5" w14:textId="77777777" w:rsidR="00D7307B" w:rsidRDefault="00D7307B" w:rsidP="00D90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A5DE" w14:textId="77777777" w:rsidR="003F6F9F" w:rsidRDefault="003F6F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C60C6"/>
    <w:multiLevelType w:val="hybridMultilevel"/>
    <w:tmpl w:val="6F26A79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24434"/>
    <w:multiLevelType w:val="hybridMultilevel"/>
    <w:tmpl w:val="9B663EC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200D5"/>
    <w:multiLevelType w:val="hybridMultilevel"/>
    <w:tmpl w:val="25F45A9E"/>
    <w:lvl w:ilvl="0" w:tplc="0C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 w15:restartNumberingAfterBreak="0">
    <w:nsid w:val="0EC96BF8"/>
    <w:multiLevelType w:val="hybridMultilevel"/>
    <w:tmpl w:val="7AFC95E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393210"/>
    <w:multiLevelType w:val="hybridMultilevel"/>
    <w:tmpl w:val="2618D8C8"/>
    <w:lvl w:ilvl="0" w:tplc="B3263394">
      <w:start w:val="1"/>
      <w:numFmt w:val="lowerLetter"/>
      <w:lvlText w:val="%1."/>
      <w:lvlJc w:val="left"/>
      <w:pPr>
        <w:ind w:left="69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10" w:hanging="360"/>
      </w:pPr>
    </w:lvl>
    <w:lvl w:ilvl="2" w:tplc="0C0A001B" w:tentative="1">
      <w:start w:val="1"/>
      <w:numFmt w:val="lowerRoman"/>
      <w:lvlText w:val="%3."/>
      <w:lvlJc w:val="right"/>
      <w:pPr>
        <w:ind w:left="2130" w:hanging="180"/>
      </w:pPr>
    </w:lvl>
    <w:lvl w:ilvl="3" w:tplc="0C0A000F" w:tentative="1">
      <w:start w:val="1"/>
      <w:numFmt w:val="decimal"/>
      <w:lvlText w:val="%4."/>
      <w:lvlJc w:val="left"/>
      <w:pPr>
        <w:ind w:left="2850" w:hanging="360"/>
      </w:pPr>
    </w:lvl>
    <w:lvl w:ilvl="4" w:tplc="0C0A0019" w:tentative="1">
      <w:start w:val="1"/>
      <w:numFmt w:val="lowerLetter"/>
      <w:lvlText w:val="%5."/>
      <w:lvlJc w:val="left"/>
      <w:pPr>
        <w:ind w:left="3570" w:hanging="360"/>
      </w:pPr>
    </w:lvl>
    <w:lvl w:ilvl="5" w:tplc="0C0A001B" w:tentative="1">
      <w:start w:val="1"/>
      <w:numFmt w:val="lowerRoman"/>
      <w:lvlText w:val="%6."/>
      <w:lvlJc w:val="right"/>
      <w:pPr>
        <w:ind w:left="4290" w:hanging="180"/>
      </w:pPr>
    </w:lvl>
    <w:lvl w:ilvl="6" w:tplc="0C0A000F" w:tentative="1">
      <w:start w:val="1"/>
      <w:numFmt w:val="decimal"/>
      <w:lvlText w:val="%7."/>
      <w:lvlJc w:val="left"/>
      <w:pPr>
        <w:ind w:left="5010" w:hanging="360"/>
      </w:pPr>
    </w:lvl>
    <w:lvl w:ilvl="7" w:tplc="0C0A0019" w:tentative="1">
      <w:start w:val="1"/>
      <w:numFmt w:val="lowerLetter"/>
      <w:lvlText w:val="%8."/>
      <w:lvlJc w:val="left"/>
      <w:pPr>
        <w:ind w:left="5730" w:hanging="360"/>
      </w:pPr>
    </w:lvl>
    <w:lvl w:ilvl="8" w:tplc="0C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 w15:restartNumberingAfterBreak="0">
    <w:nsid w:val="19DD79B9"/>
    <w:multiLevelType w:val="hybridMultilevel"/>
    <w:tmpl w:val="5B80A9A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5DC2161"/>
    <w:multiLevelType w:val="hybridMultilevel"/>
    <w:tmpl w:val="585087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92F38"/>
    <w:multiLevelType w:val="hybridMultilevel"/>
    <w:tmpl w:val="717E803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9024269"/>
    <w:multiLevelType w:val="hybridMultilevel"/>
    <w:tmpl w:val="5540DEC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2412E7"/>
    <w:multiLevelType w:val="hybridMultilevel"/>
    <w:tmpl w:val="BF7212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16711B"/>
    <w:multiLevelType w:val="hybridMultilevel"/>
    <w:tmpl w:val="F78A0E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51F27"/>
    <w:multiLevelType w:val="hybridMultilevel"/>
    <w:tmpl w:val="A2A07668"/>
    <w:lvl w:ilvl="0" w:tplc="0C0A0001">
      <w:start w:val="1"/>
      <w:numFmt w:val="bullet"/>
      <w:lvlText w:val=""/>
      <w:lvlJc w:val="left"/>
      <w:pPr>
        <w:ind w:left="10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12" w15:restartNumberingAfterBreak="0">
    <w:nsid w:val="53F76EA2"/>
    <w:multiLevelType w:val="hybridMultilevel"/>
    <w:tmpl w:val="20CA2DAE"/>
    <w:lvl w:ilvl="0" w:tplc="0C0A0001">
      <w:start w:val="1"/>
      <w:numFmt w:val="bullet"/>
      <w:lvlText w:val=""/>
      <w:lvlJc w:val="left"/>
      <w:pPr>
        <w:ind w:left="183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94" w:hanging="360"/>
      </w:pPr>
      <w:rPr>
        <w:rFonts w:ascii="Wingdings" w:hAnsi="Wingdings" w:hint="default"/>
      </w:rPr>
    </w:lvl>
  </w:abstractNum>
  <w:abstractNum w:abstractNumId="13" w15:restartNumberingAfterBreak="0">
    <w:nsid w:val="5BE06338"/>
    <w:multiLevelType w:val="hybridMultilevel"/>
    <w:tmpl w:val="6A407B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53417"/>
    <w:multiLevelType w:val="hybridMultilevel"/>
    <w:tmpl w:val="D362E6EE"/>
    <w:lvl w:ilvl="0" w:tplc="0C0A0001">
      <w:start w:val="1"/>
      <w:numFmt w:val="bullet"/>
      <w:lvlText w:val=""/>
      <w:lvlJc w:val="left"/>
      <w:pPr>
        <w:ind w:left="139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15" w15:restartNumberingAfterBreak="0">
    <w:nsid w:val="66797147"/>
    <w:multiLevelType w:val="hybridMultilevel"/>
    <w:tmpl w:val="DB1C4624"/>
    <w:lvl w:ilvl="0" w:tplc="0C0A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6" w15:restartNumberingAfterBreak="0">
    <w:nsid w:val="67AB67D2"/>
    <w:multiLevelType w:val="hybridMultilevel"/>
    <w:tmpl w:val="723E1BCA"/>
    <w:lvl w:ilvl="0" w:tplc="0C0A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17" w15:restartNumberingAfterBreak="0">
    <w:nsid w:val="725F07C7"/>
    <w:multiLevelType w:val="hybridMultilevel"/>
    <w:tmpl w:val="04F8188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5DA0BAC"/>
    <w:multiLevelType w:val="hybridMultilevel"/>
    <w:tmpl w:val="CBAC114A"/>
    <w:lvl w:ilvl="0" w:tplc="0C0A0001">
      <w:start w:val="1"/>
      <w:numFmt w:val="bullet"/>
      <w:lvlText w:val=""/>
      <w:lvlJc w:val="left"/>
      <w:pPr>
        <w:ind w:left="10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19" w15:restartNumberingAfterBreak="0">
    <w:nsid w:val="7871539C"/>
    <w:multiLevelType w:val="hybridMultilevel"/>
    <w:tmpl w:val="A5DE9FDE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C8556A8"/>
    <w:multiLevelType w:val="hybridMultilevel"/>
    <w:tmpl w:val="2AF4224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160631"/>
    <w:multiLevelType w:val="hybridMultilevel"/>
    <w:tmpl w:val="E856D9AE"/>
    <w:lvl w:ilvl="0" w:tplc="83A837F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8"/>
  </w:num>
  <w:num w:numId="4">
    <w:abstractNumId w:val="0"/>
  </w:num>
  <w:num w:numId="5">
    <w:abstractNumId w:val="16"/>
  </w:num>
  <w:num w:numId="6">
    <w:abstractNumId w:val="6"/>
  </w:num>
  <w:num w:numId="7">
    <w:abstractNumId w:val="12"/>
  </w:num>
  <w:num w:numId="8">
    <w:abstractNumId w:val="9"/>
  </w:num>
  <w:num w:numId="9">
    <w:abstractNumId w:val="11"/>
  </w:num>
  <w:num w:numId="10">
    <w:abstractNumId w:val="3"/>
  </w:num>
  <w:num w:numId="11">
    <w:abstractNumId w:val="17"/>
  </w:num>
  <w:num w:numId="12">
    <w:abstractNumId w:val="7"/>
  </w:num>
  <w:num w:numId="13">
    <w:abstractNumId w:val="14"/>
  </w:num>
  <w:num w:numId="14">
    <w:abstractNumId w:val="4"/>
  </w:num>
  <w:num w:numId="15">
    <w:abstractNumId w:val="15"/>
  </w:num>
  <w:num w:numId="16">
    <w:abstractNumId w:val="21"/>
  </w:num>
  <w:num w:numId="17">
    <w:abstractNumId w:val="19"/>
  </w:num>
  <w:num w:numId="18">
    <w:abstractNumId w:val="10"/>
  </w:num>
  <w:num w:numId="19">
    <w:abstractNumId w:val="8"/>
  </w:num>
  <w:num w:numId="20">
    <w:abstractNumId w:val="13"/>
  </w:num>
  <w:num w:numId="21">
    <w:abstractNumId w:val="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B9D"/>
    <w:rsid w:val="0003629F"/>
    <w:rsid w:val="000475FE"/>
    <w:rsid w:val="00172BB7"/>
    <w:rsid w:val="003B7BA1"/>
    <w:rsid w:val="003F6F9F"/>
    <w:rsid w:val="00434563"/>
    <w:rsid w:val="0057104F"/>
    <w:rsid w:val="00656C00"/>
    <w:rsid w:val="00723F07"/>
    <w:rsid w:val="0076690E"/>
    <w:rsid w:val="00831B9D"/>
    <w:rsid w:val="008408B8"/>
    <w:rsid w:val="00B151FC"/>
    <w:rsid w:val="00B900EE"/>
    <w:rsid w:val="00C51D66"/>
    <w:rsid w:val="00C970B2"/>
    <w:rsid w:val="00D7307B"/>
    <w:rsid w:val="00D9063D"/>
    <w:rsid w:val="00E8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40571A"/>
  <w15:chartTrackingRefBased/>
  <w15:docId w15:val="{59E2D794-64AB-4E20-B6FD-461D911E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408B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906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063D"/>
  </w:style>
  <w:style w:type="paragraph" w:styleId="Piedepgina">
    <w:name w:val="footer"/>
    <w:basedOn w:val="Normal"/>
    <w:link w:val="PiedepginaCar"/>
    <w:uiPriority w:val="99"/>
    <w:unhideWhenUsed/>
    <w:rsid w:val="00D906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0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2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2262</Words>
  <Characters>12444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soltashnd@gmail.com</dc:creator>
  <cp:keywords/>
  <dc:description/>
  <cp:lastModifiedBy>soltashnd@gmail.com</cp:lastModifiedBy>
  <cp:revision>2</cp:revision>
  <dcterms:created xsi:type="dcterms:W3CDTF">2025-09-29T00:46:00Z</dcterms:created>
  <dcterms:modified xsi:type="dcterms:W3CDTF">2025-09-29T00:46:00Z</dcterms:modified>
</cp:coreProperties>
</file>